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35.110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CCSCIOT</w:t>
                  </w:r>
                  <w: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L79</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无锡“感知中国”物联网商会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物联网 VOCs监测溯源系统技术要求"/>
            </w:textInput>
          </w:ffData>
        </w:fldChar>
      </w:r>
      <w:bookmarkStart w:id="5" w:name="CSTD_NAME"/>
      <w:r>
        <w:instrText xml:space="preserve"> FORMTEXT </w:instrText>
      </w:r>
      <w:r>
        <w:fldChar w:fldCharType="separate"/>
      </w:r>
      <w:r>
        <w:t>物联网 VOCS监测溯源系统技术要求</w:t>
      </w:r>
      <w:r>
        <w:fldChar w:fldCharType="end"/>
      </w:r>
      <w:bookmarkEnd w:id="5"/>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quirements for Internet of things VOCs monitoring and traceability system"/>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Technical requirements for Internet of things VOCS monitoring and traceability system</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0" w:name="fm"/>
      <w:r>
        <w:rPr>
          <w:rFonts w:hAnsi="黑体"/>
          <w:w w:val="100"/>
          <w:sz w:val="28"/>
        </w:rPr>
        <w:instrText xml:space="preserve"> FORMTEXT </w:instrText>
      </w:r>
      <w:r>
        <w:rPr>
          <w:rFonts w:hAnsi="黑体"/>
          <w:w w:val="100"/>
          <w:sz w:val="28"/>
        </w:rPr>
        <w:fldChar w:fldCharType="separate"/>
      </w:r>
      <w:r>
        <w:rPr>
          <w:rFonts w:hint="eastAsia" w:hAnsi="黑体"/>
          <w:w w:val="100"/>
          <w:sz w:val="28"/>
        </w:rPr>
        <w:t>无锡“感知中国”物联网商会</w:t>
      </w:r>
      <w:r>
        <w:rPr>
          <w:rFonts w:hAnsi="黑体"/>
          <w:w w:val="100"/>
          <w:sz w:val="28"/>
        </w:rPr>
        <w:fldChar w:fldCharType="end"/>
      </w:r>
      <w:bookmarkEnd w:id="1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2051"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3"/>
        <w:spacing w:after="360"/>
      </w:pPr>
      <w:bookmarkStart w:id="11" w:name="BookMark1"/>
      <w:r>
        <w:rPr>
          <w:spacing w:val="320"/>
        </w:rPr>
        <w:t>目</w:t>
      </w:r>
      <w: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"_Toc114642321" </w:instrText>
      </w:r>
      <w:r>
        <w:fldChar w:fldCharType="separate"/>
      </w:r>
      <w:r>
        <w:rPr>
          <w:rStyle w:val="34"/>
          <w:spacing w:val="320"/>
        </w:rPr>
        <w:t>前</w:t>
      </w:r>
      <w:r>
        <w:rPr>
          <w:rStyle w:val="34"/>
        </w:rPr>
        <w:t>言</w:t>
      </w:r>
      <w:r>
        <w:tab/>
      </w:r>
      <w:r>
        <w:fldChar w:fldCharType="begin"/>
      </w:r>
      <w:r>
        <w:instrText xml:space="preserve"> PAGEREF _Toc114642321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"_Toc114642322" </w:instrText>
      </w:r>
      <w:r>
        <w:fldChar w:fldCharType="separate"/>
      </w:r>
      <w:r>
        <w:rPr>
          <w:rStyle w:val="34"/>
        </w:rPr>
        <w:t>1 范围</w:t>
      </w:r>
      <w:r>
        <w:tab/>
      </w:r>
      <w:r>
        <w:fldChar w:fldCharType="begin"/>
      </w:r>
      <w:r>
        <w:instrText xml:space="preserve"> PAGEREF _Toc114642322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"_Toc114642323" </w:instrText>
      </w:r>
      <w:r>
        <w:fldChar w:fldCharType="separate"/>
      </w:r>
      <w:r>
        <w:rPr>
          <w:rStyle w:val="34"/>
        </w:rPr>
        <w:t>2 规范性引用文件</w:t>
      </w:r>
      <w:r>
        <w:tab/>
      </w:r>
      <w:r>
        <w:fldChar w:fldCharType="begin"/>
      </w:r>
      <w:r>
        <w:instrText xml:space="preserve"> PAGEREF _Toc114642323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"_Toc114642324" </w:instrText>
      </w:r>
      <w:r>
        <w:fldChar w:fldCharType="separate"/>
      </w:r>
      <w:r>
        <w:rPr>
          <w:rStyle w:val="34"/>
        </w:rPr>
        <w:t>3 术语和定义</w:t>
      </w:r>
      <w:r>
        <w:tab/>
      </w:r>
      <w:r>
        <w:fldChar w:fldCharType="begin"/>
      </w:r>
      <w:r>
        <w:instrText xml:space="preserve"> PAGEREF _Toc114642324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"_Toc114642325" </w:instrText>
      </w:r>
      <w:r>
        <w:fldChar w:fldCharType="separate"/>
      </w:r>
      <w:r>
        <w:rPr>
          <w:rStyle w:val="34"/>
        </w:rPr>
        <w:t>4 缩略语</w:t>
      </w:r>
      <w:r>
        <w:tab/>
      </w:r>
      <w:r>
        <w:fldChar w:fldCharType="begin"/>
      </w:r>
      <w:r>
        <w:instrText xml:space="preserve"> PAGEREF _Toc114642325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"_Toc114642326" </w:instrText>
      </w:r>
      <w:r>
        <w:fldChar w:fldCharType="separate"/>
      </w:r>
      <w:r>
        <w:rPr>
          <w:rStyle w:val="34"/>
        </w:rPr>
        <w:t>5 概述</w:t>
      </w:r>
      <w:r>
        <w:tab/>
      </w:r>
      <w:r>
        <w:fldChar w:fldCharType="begin"/>
      </w:r>
      <w:r>
        <w:instrText xml:space="preserve"> PAGEREF _Toc114642326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"_Toc114642327" </w:instrText>
      </w:r>
      <w:r>
        <w:fldChar w:fldCharType="separate"/>
      </w:r>
      <w:r>
        <w:rPr>
          <w:rStyle w:val="34"/>
        </w:rPr>
        <w:t>6 系统结构</w:t>
      </w:r>
      <w:r>
        <w:tab/>
      </w:r>
      <w:r>
        <w:fldChar w:fldCharType="begin"/>
      </w:r>
      <w:r>
        <w:instrText xml:space="preserve"> PAGEREF _Toc114642327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"_Toc114642328" </w:instrText>
      </w:r>
      <w:r>
        <w:fldChar w:fldCharType="separate"/>
      </w:r>
      <w:r>
        <w:rPr>
          <w:rStyle w:val="34"/>
        </w:rPr>
        <w:t>7 系统规范</w:t>
      </w:r>
      <w:r>
        <w:tab/>
      </w:r>
      <w:r>
        <w:fldChar w:fldCharType="begin"/>
      </w:r>
      <w:r>
        <w:instrText xml:space="preserve"> PAGEREF _Toc114642328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"_Toc114642329" </w:instrText>
      </w:r>
      <w:r>
        <w:fldChar w:fldCharType="separate"/>
      </w:r>
      <w:r>
        <w:rPr>
          <w:rStyle w:val="34"/>
        </w:rPr>
        <w:t>7.1 系统用户</w:t>
      </w:r>
      <w:r>
        <w:tab/>
      </w:r>
      <w:r>
        <w:fldChar w:fldCharType="begin"/>
      </w:r>
      <w:r>
        <w:instrText xml:space="preserve"> PAGEREF _Toc114642329 \h </w:instrText>
      </w:r>
      <w:r>
        <w:fldChar w:fldCharType="separate"/>
      </w:r>
      <w:r>
        <w:t>2</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"_Toc114642330" </w:instrText>
      </w:r>
      <w:r>
        <w:fldChar w:fldCharType="separate"/>
      </w:r>
      <w:r>
        <w:rPr>
          <w:rStyle w:val="34"/>
          <w:lang w:eastAsia="zh-Hans"/>
        </w:rPr>
        <w:t>7.1.1 管理部门</w:t>
      </w:r>
      <w:r>
        <w:tab/>
      </w:r>
      <w:r>
        <w:fldChar w:fldCharType="begin"/>
      </w:r>
      <w:r>
        <w:instrText xml:space="preserve"> PAGEREF _Toc114642330 \h </w:instrText>
      </w:r>
      <w:r>
        <w:fldChar w:fldCharType="separate"/>
      </w:r>
      <w:r>
        <w:t>2</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"_Toc114642331" </w:instrText>
      </w:r>
      <w:r>
        <w:fldChar w:fldCharType="separate"/>
      </w:r>
      <w:r>
        <w:rPr>
          <w:rStyle w:val="34"/>
          <w:lang w:eastAsia="zh-Hans"/>
        </w:rPr>
        <w:t>7.1.2 专业用户</w:t>
      </w:r>
      <w:r>
        <w:tab/>
      </w:r>
      <w:r>
        <w:fldChar w:fldCharType="begin"/>
      </w:r>
      <w:r>
        <w:instrText xml:space="preserve"> PAGEREF _Toc114642331 \h </w:instrText>
      </w:r>
      <w:r>
        <w:fldChar w:fldCharType="separate"/>
      </w:r>
      <w:r>
        <w:t>2</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"_Toc114642332" </w:instrText>
      </w:r>
      <w:r>
        <w:fldChar w:fldCharType="separate"/>
      </w:r>
      <w:r>
        <w:rPr>
          <w:rStyle w:val="34"/>
          <w:lang w:eastAsia="zh-Hans"/>
        </w:rPr>
        <w:t>7.1.3 一般用户</w:t>
      </w:r>
      <w:r>
        <w:tab/>
      </w:r>
      <w:r>
        <w:fldChar w:fldCharType="begin"/>
      </w:r>
      <w:r>
        <w:instrText xml:space="preserve"> PAGEREF _Toc114642332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"_Toc114642333" </w:instrText>
      </w:r>
      <w:r>
        <w:fldChar w:fldCharType="separate"/>
      </w:r>
      <w:r>
        <w:rPr>
          <w:rStyle w:val="34"/>
        </w:rPr>
        <w:t>7.2 环境感知设备</w:t>
      </w:r>
      <w:r>
        <w:tab/>
      </w:r>
      <w:r>
        <w:fldChar w:fldCharType="begin"/>
      </w:r>
      <w:r>
        <w:instrText xml:space="preserve"> PAGEREF _Toc114642333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"_Toc114642334" </w:instrText>
      </w:r>
      <w:r>
        <w:fldChar w:fldCharType="separate"/>
      </w:r>
      <w:r>
        <w:rPr>
          <w:rStyle w:val="34"/>
          <w:lang w:eastAsia="zh-Hans"/>
        </w:rPr>
        <w:t>7.2.1 在线VOCs质谱仪</w:t>
      </w:r>
      <w:r>
        <w:tab/>
      </w:r>
      <w:r>
        <w:fldChar w:fldCharType="begin"/>
      </w:r>
      <w:r>
        <w:instrText xml:space="preserve"> PAGEREF _Toc114642334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"_Toc114642335" </w:instrText>
      </w:r>
      <w:r>
        <w:fldChar w:fldCharType="separate"/>
      </w:r>
      <w:r>
        <w:rPr>
          <w:rStyle w:val="34"/>
          <w:lang w:eastAsia="zh-Hans"/>
        </w:rPr>
        <w:t>7.2.2 微站设备</w:t>
      </w:r>
      <w:r>
        <w:tab/>
      </w:r>
      <w:r>
        <w:fldChar w:fldCharType="begin"/>
      </w:r>
      <w:r>
        <w:instrText xml:space="preserve"> PAGEREF _Toc114642335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"_Toc114642336" </w:instrText>
      </w:r>
      <w:r>
        <w:fldChar w:fldCharType="separate"/>
      </w:r>
      <w:r>
        <w:rPr>
          <w:rStyle w:val="34"/>
          <w:lang w:eastAsia="zh-Hans"/>
        </w:rPr>
        <w:t>7.2.3 VOCs质谱仪走航监测车</w:t>
      </w:r>
      <w:r>
        <w:tab/>
      </w:r>
      <w:r>
        <w:fldChar w:fldCharType="begin"/>
      </w:r>
      <w:r>
        <w:instrText xml:space="preserve"> PAGEREF _Toc114642336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"_Toc114642337" </w:instrText>
      </w:r>
      <w:r>
        <w:fldChar w:fldCharType="separate"/>
      </w:r>
      <w:r>
        <w:rPr>
          <w:rStyle w:val="34"/>
        </w:rPr>
        <w:t>7.3 系统功能</w:t>
      </w:r>
      <w:r>
        <w:tab/>
      </w:r>
      <w:r>
        <w:fldChar w:fldCharType="begin"/>
      </w:r>
      <w:r>
        <w:instrText xml:space="preserve"> PAGEREF _Toc114642337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"_Toc114642338" </w:instrText>
      </w:r>
      <w:r>
        <w:fldChar w:fldCharType="separate"/>
      </w:r>
      <w:r>
        <w:rPr>
          <w:rStyle w:val="34"/>
          <w:lang w:eastAsia="zh-Hans"/>
        </w:rPr>
        <w:t>7.3.1 VOCs污染源在线监控</w:t>
      </w:r>
      <w:r>
        <w:tab/>
      </w:r>
      <w:r>
        <w:fldChar w:fldCharType="begin"/>
      </w:r>
      <w:r>
        <w:instrText xml:space="preserve"> PAGEREF _Toc114642338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"_Toc114642339" </w:instrText>
      </w:r>
      <w:r>
        <w:fldChar w:fldCharType="separate"/>
      </w:r>
      <w:r>
        <w:rPr>
          <w:rStyle w:val="34"/>
          <w:lang w:eastAsia="zh-Hans"/>
        </w:rPr>
        <w:t>7.3.2 数据综合管理</w:t>
      </w:r>
      <w:r>
        <w:tab/>
      </w:r>
      <w:r>
        <w:fldChar w:fldCharType="begin"/>
      </w:r>
      <w:r>
        <w:instrText xml:space="preserve"> PAGEREF _Toc114642339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"_Toc114642340" </w:instrText>
      </w:r>
      <w:r>
        <w:fldChar w:fldCharType="separate"/>
      </w:r>
      <w:r>
        <w:rPr>
          <w:rStyle w:val="34"/>
          <w:lang w:eastAsia="zh-Hans"/>
        </w:rPr>
        <w:t>7.3.3 数据统计分析</w:t>
      </w:r>
      <w:r>
        <w:tab/>
      </w:r>
      <w:r>
        <w:fldChar w:fldCharType="begin"/>
      </w:r>
      <w:r>
        <w:instrText xml:space="preserve"> PAGEREF _Toc114642340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"_Toc114642341" </w:instrText>
      </w:r>
      <w:r>
        <w:fldChar w:fldCharType="separate"/>
      </w:r>
      <w:r>
        <w:rPr>
          <w:rStyle w:val="34"/>
          <w:lang w:eastAsia="zh-Hans"/>
        </w:rPr>
        <w:t>7.3.4 气象辅助分析</w:t>
      </w:r>
      <w:r>
        <w:tab/>
      </w:r>
      <w:r>
        <w:fldChar w:fldCharType="begin"/>
      </w:r>
      <w:r>
        <w:instrText xml:space="preserve"> PAGEREF _Toc114642341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"_Toc114642342" </w:instrText>
      </w:r>
      <w:r>
        <w:fldChar w:fldCharType="separate"/>
      </w:r>
      <w:r>
        <w:rPr>
          <w:rStyle w:val="34"/>
          <w:lang w:eastAsia="zh-Hans"/>
        </w:rPr>
        <w:t>7.3.5 报警一张图</w:t>
      </w:r>
      <w:r>
        <w:tab/>
      </w:r>
      <w:r>
        <w:fldChar w:fldCharType="begin"/>
      </w:r>
      <w:r>
        <w:instrText xml:space="preserve"> PAGEREF _Toc114642342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"_Toc114642343" </w:instrText>
      </w:r>
      <w:r>
        <w:fldChar w:fldCharType="separate"/>
      </w:r>
      <w:r>
        <w:rPr>
          <w:rStyle w:val="34"/>
          <w:lang w:eastAsia="zh-Hans"/>
        </w:rPr>
        <w:t>7.3.6 污染趋势预警</w:t>
      </w:r>
      <w:r>
        <w:tab/>
      </w:r>
      <w:r>
        <w:fldChar w:fldCharType="begin"/>
      </w:r>
      <w:r>
        <w:instrText xml:space="preserve"> PAGEREF _Toc114642343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"_Toc114642344" </w:instrText>
      </w:r>
      <w:r>
        <w:fldChar w:fldCharType="separate"/>
      </w:r>
      <w:r>
        <w:rPr>
          <w:rStyle w:val="34"/>
          <w:lang w:eastAsia="zh-Hans"/>
        </w:rPr>
        <w:t>7.3.7 异味扩散模型和污染来源跟踪</w:t>
      </w:r>
      <w:r>
        <w:tab/>
      </w:r>
      <w:r>
        <w:fldChar w:fldCharType="begin"/>
      </w:r>
      <w:r>
        <w:instrText xml:space="preserve"> PAGEREF _Toc114642344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"_Toc114642345" </w:instrText>
      </w:r>
      <w:r>
        <w:fldChar w:fldCharType="separate"/>
      </w:r>
      <w:r>
        <w:rPr>
          <w:rStyle w:val="34"/>
        </w:rPr>
        <w:t>7.4 外部接口</w:t>
      </w:r>
      <w:r>
        <w:tab/>
      </w:r>
      <w:r>
        <w:fldChar w:fldCharType="begin"/>
      </w:r>
      <w:r>
        <w:instrText xml:space="preserve"> PAGEREF _Toc114642345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"_Toc114642346" </w:instrText>
      </w:r>
      <w:r>
        <w:fldChar w:fldCharType="separate"/>
      </w:r>
      <w:r>
        <w:rPr>
          <w:rStyle w:val="34"/>
          <w:lang w:eastAsia="zh-Hans"/>
        </w:rPr>
        <w:t>7.4.1 环境质量感知数据交换</w:t>
      </w:r>
      <w:r>
        <w:tab/>
      </w:r>
      <w:r>
        <w:fldChar w:fldCharType="begin"/>
      </w:r>
      <w:r>
        <w:instrText xml:space="preserve"> PAGEREF _Toc114642346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"_Toc114642347" </w:instrText>
      </w:r>
      <w:r>
        <w:fldChar w:fldCharType="separate"/>
      </w:r>
      <w:r>
        <w:rPr>
          <w:rStyle w:val="34"/>
          <w:lang w:eastAsia="zh-Hans"/>
        </w:rPr>
        <w:t>7.4.2 其它数据交换</w:t>
      </w:r>
      <w:r>
        <w:tab/>
      </w:r>
      <w:r>
        <w:fldChar w:fldCharType="begin"/>
      </w:r>
      <w:r>
        <w:instrText xml:space="preserve"> PAGEREF _Toc114642347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"_Toc114642348" </w:instrText>
      </w:r>
      <w:r>
        <w:fldChar w:fldCharType="separate"/>
      </w:r>
      <w:r>
        <w:rPr>
          <w:rStyle w:val="34"/>
          <w:lang w:eastAsia="zh-Hans"/>
        </w:rPr>
        <w:t>7.4.3 气象数据对接</w:t>
      </w:r>
      <w:r>
        <w:tab/>
      </w:r>
      <w:r>
        <w:fldChar w:fldCharType="begin"/>
      </w:r>
      <w:r>
        <w:instrText xml:space="preserve"> PAGEREF _Toc114642348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"_Toc114642349" </w:instrText>
      </w:r>
      <w:r>
        <w:fldChar w:fldCharType="separate"/>
      </w:r>
      <w:r>
        <w:rPr>
          <w:rStyle w:val="34"/>
        </w:rPr>
        <w:t>7.5 系统运维</w:t>
      </w:r>
      <w:r>
        <w:tab/>
      </w:r>
      <w:r>
        <w:fldChar w:fldCharType="begin"/>
      </w:r>
      <w:r>
        <w:instrText xml:space="preserve"> PAGEREF _Toc114642349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"_Toc114642350" </w:instrText>
      </w:r>
      <w:r>
        <w:fldChar w:fldCharType="separate"/>
      </w:r>
      <w:r>
        <w:rPr>
          <w:rStyle w:val="34"/>
          <w:lang w:eastAsia="zh-Hans"/>
        </w:rPr>
        <w:t>7.5.1 设备管理</w:t>
      </w:r>
      <w:r>
        <w:tab/>
      </w:r>
      <w:r>
        <w:fldChar w:fldCharType="begin"/>
      </w:r>
      <w:r>
        <w:instrText xml:space="preserve"> PAGEREF _Toc114642350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"_Toc114642351" </w:instrText>
      </w:r>
      <w:r>
        <w:fldChar w:fldCharType="separate"/>
      </w:r>
      <w:r>
        <w:rPr>
          <w:rStyle w:val="34"/>
          <w:lang w:eastAsia="zh-Hans"/>
        </w:rPr>
        <w:t>7.5.2 安全管理</w:t>
      </w:r>
      <w:r>
        <w:tab/>
      </w:r>
      <w:r>
        <w:fldChar w:fldCharType="begin"/>
      </w:r>
      <w:r>
        <w:instrText xml:space="preserve"> PAGEREF _Toc114642351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"_Toc114642352" </w:instrText>
      </w:r>
      <w:r>
        <w:fldChar w:fldCharType="separate"/>
      </w:r>
      <w:r>
        <w:rPr>
          <w:rStyle w:val="34"/>
          <w:lang w:eastAsia="zh-Hans"/>
        </w:rPr>
        <w:t>7.5.3 数据备份</w:t>
      </w:r>
      <w:r>
        <w:tab/>
      </w:r>
      <w:r>
        <w:fldChar w:fldCharType="begin"/>
      </w:r>
      <w:r>
        <w:instrText xml:space="preserve"> PAGEREF _Toc114642352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"_Toc114642353" </w:instrText>
      </w:r>
      <w:r>
        <w:fldChar w:fldCharType="separate"/>
      </w:r>
      <w:r>
        <w:rPr>
          <w:rStyle w:val="34"/>
          <w:lang w:eastAsia="zh-Hans"/>
        </w:rPr>
        <w:t>7.5.4 日志记录</w:t>
      </w:r>
      <w:r>
        <w:tab/>
      </w:r>
      <w:r>
        <w:fldChar w:fldCharType="begin"/>
      </w:r>
      <w:r>
        <w:instrText xml:space="preserve"> PAGEREF _Toc114642353 \h </w:instrText>
      </w:r>
      <w:r>
        <w:fldChar w:fldCharType="separate"/>
      </w:r>
      <w:r>
        <w:t>4</w:t>
      </w:r>
      <w:r>
        <w:fldChar w:fldCharType="end"/>
      </w:r>
      <w:r>
        <w:fldChar w:fldCharType="end"/>
      </w:r>
    </w:p>
    <w:p>
      <w:pPr>
        <w:pStyle w:val="93"/>
        <w:spacing w:after="36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1"/>
    <w:p>
      <w:pPr>
        <w:pStyle w:val="91"/>
        <w:spacing w:after="360"/>
      </w:pPr>
      <w:bookmarkStart w:id="12" w:name="_Toc114642321"/>
      <w:bookmarkStart w:id="13" w:name="BookMark2"/>
      <w:r>
        <w:rPr>
          <w:spacing w:val="320"/>
        </w:rPr>
        <w:t>前</w:t>
      </w:r>
      <w:r>
        <w:t>言</w:t>
      </w:r>
      <w:bookmarkEnd w:id="12"/>
    </w:p>
    <w:p>
      <w:pPr>
        <w:pStyle w:val="58"/>
        <w:ind w:firstLine="420"/>
      </w:pPr>
      <w:r>
        <w:rPr>
          <w:rFonts w:hint="eastAsia"/>
        </w:rPr>
        <w:t>本文件按照《标准化工作导则  第1部分：标准化文件的结构和起草规则》的规定起草。</w:t>
      </w:r>
    </w:p>
    <w:p>
      <w:pPr>
        <w:pStyle w:val="58"/>
        <w:ind w:firstLine="420"/>
      </w:pPr>
      <w:r>
        <w:rPr>
          <w:rFonts w:hint="eastAsia"/>
        </w:rPr>
        <w:t>本文件由无锡“感知中国”物联网商会提出并归口。</w:t>
      </w:r>
    </w:p>
    <w:p>
      <w:pPr>
        <w:pStyle w:val="58"/>
        <w:ind w:firstLine="420"/>
      </w:pPr>
      <w:r>
        <w:rPr>
          <w:rFonts w:hint="eastAsia"/>
        </w:rPr>
        <w:t>本文件起草单位：</w:t>
      </w:r>
      <w:r>
        <w:t xml:space="preserve"> </w:t>
      </w:r>
    </w:p>
    <w:p>
      <w:pPr>
        <w:pStyle w:val="58"/>
        <w:ind w:firstLine="420"/>
      </w:pPr>
      <w:r>
        <w:rPr>
          <w:rFonts w:hint="eastAsia"/>
        </w:rPr>
        <w:t>本文件主要起草人：</w:t>
      </w:r>
      <w:r>
        <w:t xml:space="preserve"> </w:t>
      </w:r>
    </w:p>
    <w:p>
      <w:pPr>
        <w:pStyle w:val="58"/>
        <w:ind w:firstLine="420"/>
      </w:pPr>
    </w:p>
    <w:p>
      <w:pPr>
        <w:pStyle w:val="58"/>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NumType w:fmt="upperRoman"/>
          <w:cols w:space="425" w:num="1"/>
          <w:formProt w:val="0"/>
          <w:docGrid w:linePitch="312" w:charSpace="0"/>
        </w:sectPr>
      </w:pPr>
    </w:p>
    <w:bookmarkEnd w:id="13"/>
    <w:p>
      <w:pPr>
        <w:spacing w:line="20" w:lineRule="exact"/>
        <w:jc w:val="center"/>
        <w:rPr>
          <w:rFonts w:ascii="黑体" w:hAnsi="黑体" w:eastAsia="黑体"/>
          <w:sz w:val="32"/>
          <w:szCs w:val="32"/>
        </w:rPr>
      </w:pPr>
      <w:bookmarkStart w:id="14" w:name="BookMark4"/>
    </w:p>
    <w:p>
      <w:pPr>
        <w:spacing w:line="20" w:lineRule="exact"/>
        <w:jc w:val="center"/>
        <w:rPr>
          <w:rFonts w:ascii="黑体" w:hAnsi="黑体" w:eastAsia="黑体"/>
          <w:sz w:val="32"/>
          <w:szCs w:val="32"/>
        </w:rPr>
      </w:pPr>
    </w:p>
    <w:sdt>
      <w:sdtPr>
        <w:tag w:val="NEW_STAND_NAME"/>
        <w:id w:val="595910757"/>
        <w:lock w:val="sdtLocked"/>
        <w:placeholder>
          <w:docPart w:val="835D0AF4DD634E3CA741384D6A2FB88B"/>
        </w:placeholder>
      </w:sdtPr>
      <w:sdtContent>
        <w:p>
          <w:pPr>
            <w:pStyle w:val="179"/>
            <w:spacing w:before="436" w:beforeLines="182" w:after="528" w:afterLines="220"/>
          </w:pPr>
          <w:bookmarkStart w:id="15" w:name="NEW_STAND_NAME"/>
          <w:r>
            <w:rPr>
              <w:rFonts w:hint="eastAsia"/>
            </w:rPr>
            <w:t>物联网 VOCS监测溯源系统技术要求</w:t>
          </w:r>
        </w:p>
      </w:sdtContent>
    </w:sdt>
    <w:bookmarkEnd w:id="15"/>
    <w:p>
      <w:pPr>
        <w:pStyle w:val="106"/>
        <w:spacing w:before="240" w:after="240"/>
      </w:pPr>
      <w:bookmarkStart w:id="16" w:name="_Toc17233325"/>
      <w:bookmarkStart w:id="17" w:name="_Toc17233333"/>
      <w:bookmarkStart w:id="18" w:name="_Toc26986771"/>
      <w:bookmarkStart w:id="19" w:name="_Toc24884211"/>
      <w:bookmarkStart w:id="20" w:name="_Toc24884218"/>
      <w:bookmarkStart w:id="21" w:name="_Toc26718930"/>
      <w:bookmarkStart w:id="22" w:name="_Toc26648465"/>
      <w:bookmarkStart w:id="23" w:name="_Toc26986530"/>
      <w:bookmarkStart w:id="24" w:name="_Toc114642322"/>
      <w:r>
        <w:rPr>
          <w:rFonts w:hint="eastAsia"/>
        </w:rPr>
        <w:t>范围</w:t>
      </w:r>
      <w:bookmarkEnd w:id="16"/>
      <w:bookmarkEnd w:id="17"/>
      <w:bookmarkEnd w:id="18"/>
      <w:bookmarkEnd w:id="19"/>
      <w:bookmarkEnd w:id="20"/>
      <w:bookmarkEnd w:id="21"/>
      <w:bookmarkEnd w:id="22"/>
      <w:bookmarkEnd w:id="23"/>
      <w:bookmarkEnd w:id="24"/>
    </w:p>
    <w:p>
      <w:pPr>
        <w:pStyle w:val="58"/>
        <w:ind w:firstLine="420"/>
      </w:pPr>
      <w:bookmarkStart w:id="25" w:name="_Toc26648466"/>
      <w:bookmarkStart w:id="26" w:name="_Toc17233326"/>
      <w:bookmarkStart w:id="27" w:name="_Toc24884219"/>
      <w:bookmarkStart w:id="28" w:name="_Toc17233334"/>
      <w:bookmarkStart w:id="29" w:name="_Toc24884212"/>
      <w:r>
        <w:rPr>
          <w:rFonts w:hint="eastAsia"/>
        </w:rPr>
        <w:t>本文件规定了面向物联网 VOCS监测溯源系统技术要求，包括：概述、系统结构和系统规范。</w:t>
      </w:r>
    </w:p>
    <w:p>
      <w:pPr>
        <w:pStyle w:val="58"/>
        <w:ind w:firstLine="420"/>
      </w:pPr>
      <w:r>
        <w:rPr>
          <w:rFonts w:hint="eastAsia"/>
        </w:rPr>
        <w:t>本文件适用于面向物联网 VOCS监测溯源系统的设计和开发。</w:t>
      </w:r>
    </w:p>
    <w:p>
      <w:pPr>
        <w:pStyle w:val="106"/>
        <w:spacing w:before="240" w:after="240"/>
      </w:pPr>
      <w:bookmarkStart w:id="30" w:name="_Toc26718931"/>
      <w:bookmarkStart w:id="31" w:name="_Toc26986531"/>
      <w:bookmarkStart w:id="32" w:name="_Toc114642323"/>
      <w:bookmarkStart w:id="33" w:name="_Toc26986772"/>
      <w:r>
        <w:rPr>
          <w:rFonts w:hint="eastAsia"/>
        </w:rPr>
        <w:t>规范性引用文件</w:t>
      </w:r>
      <w:bookmarkEnd w:id="25"/>
      <w:bookmarkEnd w:id="26"/>
      <w:bookmarkEnd w:id="27"/>
      <w:bookmarkEnd w:id="28"/>
      <w:bookmarkEnd w:id="29"/>
      <w:bookmarkEnd w:id="30"/>
      <w:bookmarkEnd w:id="31"/>
      <w:bookmarkEnd w:id="32"/>
      <w:bookmarkEnd w:id="33"/>
    </w:p>
    <w:sdt>
      <w:sdtPr>
        <w:rPr>
          <w:rFonts w:hint="eastAsia"/>
        </w:rPr>
        <w:id w:val="715848253"/>
        <w:placeholder>
          <w:docPart w:val="87D869D6BB0D4578A52C2CAA0A120B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ascii="Times New Roman"/>
        </w:rPr>
        <w:t xml:space="preserve">GB/T 33474-2016 </w:t>
      </w:r>
      <w:r>
        <w:rPr>
          <w:rFonts w:hint="eastAsia"/>
        </w:rPr>
        <w:t>物联网</w:t>
      </w:r>
      <w:r>
        <w:t xml:space="preserve"> </w:t>
      </w:r>
      <w:r>
        <w:rPr>
          <w:rFonts w:hint="eastAsia"/>
        </w:rPr>
        <w:t>参考体系结构</w:t>
      </w:r>
    </w:p>
    <w:p>
      <w:pPr>
        <w:pStyle w:val="58"/>
        <w:ind w:firstLine="420"/>
        <w:rPr>
          <w:rFonts w:ascii="Times New Roman"/>
        </w:rPr>
      </w:pPr>
      <w:r>
        <w:rPr>
          <w:rFonts w:ascii="Times New Roman"/>
        </w:rPr>
        <w:t xml:space="preserve">GB 37822-2019 </w:t>
      </w:r>
      <w:r>
        <w:rPr>
          <w:rFonts w:hint="eastAsia" w:ascii="Times New Roman"/>
        </w:rPr>
        <w:t>挥发性有机物无组织排放控制标准</w:t>
      </w:r>
    </w:p>
    <w:p>
      <w:pPr>
        <w:pStyle w:val="58"/>
        <w:ind w:firstLine="420"/>
        <w:rPr>
          <w:rFonts w:ascii="Times New Roman"/>
        </w:rPr>
      </w:pPr>
      <w:r>
        <w:rPr>
          <w:rFonts w:ascii="Times New Roman"/>
        </w:rPr>
        <w:t xml:space="preserve">GB 3095-2012 </w:t>
      </w:r>
      <w:r>
        <w:rPr>
          <w:rFonts w:hint="eastAsia" w:ascii="Times New Roman"/>
        </w:rPr>
        <w:t>《环境空气质量标准》</w:t>
      </w:r>
    </w:p>
    <w:p>
      <w:pPr>
        <w:pStyle w:val="58"/>
        <w:ind w:firstLine="420"/>
        <w:rPr>
          <w:rFonts w:ascii="Times New Roman"/>
        </w:rPr>
      </w:pPr>
      <w:r>
        <w:rPr>
          <w:rFonts w:ascii="Times New Roman"/>
        </w:rPr>
        <w:t xml:space="preserve">GB 16297-1996 </w:t>
      </w:r>
      <w:r>
        <w:rPr>
          <w:rFonts w:hint="eastAsia" w:ascii="Times New Roman"/>
        </w:rPr>
        <w:t>《大气污染物综合排放标准》</w:t>
      </w:r>
    </w:p>
    <w:p>
      <w:pPr>
        <w:pStyle w:val="58"/>
        <w:ind w:firstLine="420"/>
        <w:rPr>
          <w:rFonts w:ascii="Times New Roman"/>
        </w:rPr>
      </w:pPr>
      <w:r>
        <w:rPr>
          <w:rFonts w:ascii="Times New Roman"/>
        </w:rPr>
        <w:t xml:space="preserve">HJ 2.2-2018 </w:t>
      </w:r>
      <w:r>
        <w:rPr>
          <w:rFonts w:hint="eastAsia" w:ascii="Times New Roman"/>
        </w:rPr>
        <w:t>《环境影响评价技术导则</w:t>
      </w:r>
      <w:r>
        <w:rPr>
          <w:rFonts w:ascii="Times New Roman"/>
        </w:rPr>
        <w:t xml:space="preserve"> </w:t>
      </w:r>
      <w:r>
        <w:rPr>
          <w:rFonts w:hint="eastAsia" w:ascii="Times New Roman"/>
        </w:rPr>
        <w:t>大气环境》</w:t>
      </w:r>
    </w:p>
    <w:p>
      <w:pPr>
        <w:pStyle w:val="58"/>
        <w:ind w:firstLine="420"/>
        <w:rPr>
          <w:rFonts w:ascii="Times New Roman"/>
        </w:rPr>
      </w:pPr>
      <w:r>
        <w:rPr>
          <w:rFonts w:ascii="Times New Roman"/>
        </w:rPr>
        <w:t xml:space="preserve">HJ 169-2018 </w:t>
      </w:r>
      <w:r>
        <w:rPr>
          <w:rFonts w:hint="eastAsia" w:ascii="Times New Roman"/>
        </w:rPr>
        <w:t>《建设项目环境风险评价技术导则》</w:t>
      </w:r>
    </w:p>
    <w:p>
      <w:pPr>
        <w:pStyle w:val="58"/>
        <w:ind w:firstLine="420"/>
        <w:rPr>
          <w:rFonts w:ascii="Times New Roman"/>
        </w:rPr>
      </w:pPr>
      <w:r>
        <w:rPr>
          <w:rFonts w:ascii="Times New Roman"/>
        </w:rPr>
        <w:t xml:space="preserve">HJ/T 193-2005 </w:t>
      </w:r>
      <w:r>
        <w:rPr>
          <w:rFonts w:hint="eastAsia" w:ascii="Times New Roman"/>
        </w:rPr>
        <w:t>《环境空气质量自动监测技术规范》</w:t>
      </w:r>
    </w:p>
    <w:p>
      <w:pPr>
        <w:pStyle w:val="58"/>
        <w:ind w:firstLine="420"/>
        <w:rPr>
          <w:rFonts w:ascii="Times New Roman"/>
        </w:rPr>
      </w:pPr>
      <w:r>
        <w:rPr>
          <w:rFonts w:ascii="Times New Roman"/>
        </w:rPr>
        <w:t xml:space="preserve">HJ 589-2010 </w:t>
      </w:r>
      <w:r>
        <w:rPr>
          <w:rFonts w:hint="eastAsia" w:ascii="Times New Roman"/>
        </w:rPr>
        <w:t>突发环境事件应急监测技术规范》</w:t>
      </w:r>
    </w:p>
    <w:p>
      <w:pPr>
        <w:pStyle w:val="58"/>
        <w:ind w:firstLine="420"/>
        <w:rPr>
          <w:rFonts w:ascii="Times New Roman"/>
        </w:rPr>
      </w:pPr>
      <w:r>
        <w:rPr>
          <w:rFonts w:ascii="Times New Roman"/>
        </w:rPr>
        <w:t xml:space="preserve">HJ 212-2017 </w:t>
      </w:r>
      <w:r>
        <w:rPr>
          <w:rFonts w:hint="eastAsia" w:ascii="Times New Roman"/>
        </w:rPr>
        <w:t>《污染物在线监控（监测）系统数据传输标准》</w:t>
      </w:r>
    </w:p>
    <w:p>
      <w:pPr>
        <w:pStyle w:val="58"/>
        <w:ind w:firstLine="420"/>
        <w:rPr>
          <w:rFonts w:ascii="Times New Roman"/>
        </w:rPr>
      </w:pPr>
      <w:r>
        <w:rPr>
          <w:rFonts w:ascii="Times New Roman"/>
        </w:rPr>
        <w:t xml:space="preserve">HJ/T 55-2000 </w:t>
      </w:r>
      <w:r>
        <w:rPr>
          <w:rFonts w:hint="eastAsia" w:ascii="Times New Roman"/>
        </w:rPr>
        <w:t>《大气污染物无组织排放监测技术导则》</w:t>
      </w:r>
    </w:p>
    <w:p>
      <w:pPr>
        <w:pStyle w:val="58"/>
        <w:ind w:firstLine="420"/>
        <w:rPr>
          <w:rFonts w:ascii="Times New Roman"/>
        </w:rPr>
      </w:pPr>
      <w:r>
        <w:rPr>
          <w:rFonts w:ascii="Times New Roman"/>
        </w:rPr>
        <w:t xml:space="preserve">HJ 759-2015 </w:t>
      </w:r>
      <w:r>
        <w:rPr>
          <w:rFonts w:hint="eastAsia" w:ascii="Times New Roman"/>
        </w:rPr>
        <w:t>《环境空气挥发性有机物的测定罐采样</w:t>
      </w:r>
      <w:r>
        <w:rPr>
          <w:rFonts w:ascii="Times New Roman"/>
        </w:rPr>
        <w:t>/</w:t>
      </w:r>
      <w:r>
        <w:rPr>
          <w:rFonts w:hint="eastAsia" w:ascii="Times New Roman"/>
        </w:rPr>
        <w:t>气相色谱</w:t>
      </w:r>
      <w:r>
        <w:rPr>
          <w:rFonts w:ascii="Times New Roman"/>
        </w:rPr>
        <w:t>-</w:t>
      </w:r>
      <w:r>
        <w:rPr>
          <w:rFonts w:hint="eastAsia" w:ascii="Times New Roman"/>
        </w:rPr>
        <w:t>质谱法》</w:t>
      </w:r>
    </w:p>
    <w:p>
      <w:pPr>
        <w:pStyle w:val="58"/>
        <w:ind w:firstLine="420"/>
        <w:rPr>
          <w:rFonts w:ascii="Times New Roman"/>
        </w:rPr>
      </w:pPr>
      <w:r>
        <w:rPr>
          <w:rFonts w:ascii="Times New Roman"/>
        </w:rPr>
        <w:t xml:space="preserve">HJ 664-2013 </w:t>
      </w:r>
      <w:r>
        <w:rPr>
          <w:rFonts w:hint="eastAsia" w:ascii="Times New Roman"/>
        </w:rPr>
        <w:t>《环境空气质量监测点位布设技术规范》</w:t>
      </w:r>
    </w:p>
    <w:p>
      <w:pPr>
        <w:pStyle w:val="58"/>
        <w:ind w:firstLine="420"/>
        <w:rPr>
          <w:rFonts w:ascii="Times New Roman"/>
        </w:rPr>
      </w:pPr>
      <w:r>
        <w:rPr>
          <w:rFonts w:ascii="Times New Roman"/>
        </w:rPr>
        <w:t xml:space="preserve">HJ/T 273-2006 </w:t>
      </w:r>
      <w:r>
        <w:rPr>
          <w:rFonts w:hint="eastAsia" w:ascii="Times New Roman"/>
        </w:rPr>
        <w:t>《行业类生态工业园区标准》</w:t>
      </w:r>
    </w:p>
    <w:p>
      <w:pPr>
        <w:pStyle w:val="58"/>
        <w:ind w:firstLine="420"/>
        <w:rPr>
          <w:rFonts w:ascii="Times New Roman"/>
        </w:rPr>
      </w:pPr>
      <w:r>
        <w:rPr>
          <w:rFonts w:ascii="Times New Roman"/>
        </w:rPr>
        <w:t xml:space="preserve">HJ 274-2009 </w:t>
      </w:r>
      <w:r>
        <w:rPr>
          <w:rFonts w:hint="eastAsia" w:ascii="Times New Roman"/>
        </w:rPr>
        <w:t>《综合类生态工业园区标准》</w:t>
      </w:r>
    </w:p>
    <w:p>
      <w:pPr>
        <w:pStyle w:val="106"/>
        <w:spacing w:before="240" w:after="240"/>
        <w:rPr>
          <w:szCs w:val="21"/>
        </w:rPr>
      </w:pPr>
      <w:bookmarkStart w:id="34" w:name="_Toc114642324"/>
      <w:r>
        <w:rPr>
          <w:rFonts w:hint="eastAsia"/>
          <w:szCs w:val="21"/>
        </w:rPr>
        <w:t>术语和定义</w:t>
      </w:r>
      <w:bookmarkEnd w:id="34"/>
    </w:p>
    <w:sdt>
      <w:sdtPr>
        <w:rPr>
          <w:rFonts w:hint="eastAsia"/>
        </w:rPr>
        <w:id w:val="-1909835108"/>
        <w:placeholder>
          <w:docPart w:val="9BCDCFE7743243B5A540BF1D7031A8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8"/>
            <w:ind w:firstLine="420"/>
          </w:pPr>
          <w:bookmarkStart w:id="35" w:name="_Toc26986532"/>
          <w:bookmarkEnd w:id="35"/>
          <w:r>
            <w:rPr>
              <w:rFonts w:hint="eastAsia"/>
            </w:rPr>
            <w:t>下列术语和定义适用于本文件。</w:t>
          </w:r>
        </w:p>
      </w:sdtContent>
    </w:sdt>
    <w:p>
      <w:pPr>
        <w:pStyle w:val="106"/>
        <w:spacing w:before="240" w:after="240"/>
      </w:pPr>
      <w:bookmarkStart w:id="36" w:name="_Toc1394872817"/>
      <w:bookmarkStart w:id="37" w:name="_Toc114642325"/>
      <w:r>
        <w:rPr>
          <w:rFonts w:hint="eastAsia"/>
        </w:rPr>
        <w:t>缩略语</w:t>
      </w:r>
      <w:bookmarkEnd w:id="36"/>
      <w:bookmarkEnd w:id="37"/>
    </w:p>
    <w:p>
      <w:pPr>
        <w:pStyle w:val="58"/>
        <w:ind w:firstLine="420"/>
      </w:pPr>
      <w:r>
        <w:rPr>
          <w:rFonts w:hint="eastAsia"/>
        </w:rPr>
        <w:t>下列缩略语适用于本文件。</w:t>
      </w:r>
    </w:p>
    <w:p>
      <w:pPr>
        <w:pStyle w:val="58"/>
        <w:ind w:firstLine="420"/>
        <w:rPr>
          <w:rFonts w:ascii="Times New Roman"/>
        </w:rPr>
      </w:pPr>
      <w:r>
        <w:rPr>
          <w:rFonts w:ascii="Times New Roman"/>
        </w:rPr>
        <w:t>VOC</w:t>
      </w:r>
      <w:r>
        <w:rPr>
          <w:rFonts w:hint="eastAsia" w:ascii="Times New Roman"/>
        </w:rPr>
        <w:t>s</w:t>
      </w:r>
      <w:r>
        <w:rPr>
          <w:rFonts w:ascii="Times New Roman"/>
        </w:rPr>
        <w:t xml:space="preserve"> </w:t>
      </w:r>
      <w:r>
        <w:rPr>
          <w:rFonts w:hint="eastAsia" w:ascii="Times New Roman"/>
        </w:rPr>
        <w:t>挥发性有机物（</w:t>
      </w:r>
      <w:r>
        <w:rPr>
          <w:rFonts w:ascii="Times New Roman"/>
        </w:rPr>
        <w:t>Volatile Organic Compounds</w:t>
      </w:r>
      <w:r>
        <w:rPr>
          <w:rFonts w:hint="eastAsia" w:ascii="Times New Roman"/>
        </w:rPr>
        <w:t>）</w:t>
      </w:r>
    </w:p>
    <w:p>
      <w:pPr>
        <w:pStyle w:val="58"/>
        <w:ind w:firstLine="420"/>
        <w:rPr>
          <w:rFonts w:ascii="Times New Roman"/>
        </w:rPr>
      </w:pPr>
      <w:r>
        <w:rPr>
          <w:rFonts w:ascii="Times New Roman"/>
        </w:rPr>
        <w:t xml:space="preserve">IoT </w:t>
      </w:r>
      <w:r>
        <w:rPr>
          <w:rFonts w:hint="eastAsia" w:ascii="Times New Roman"/>
        </w:rPr>
        <w:t>物联网（</w:t>
      </w:r>
      <w:r>
        <w:rPr>
          <w:rFonts w:ascii="Times New Roman"/>
        </w:rPr>
        <w:t>Internet of Things</w:t>
      </w:r>
      <w:r>
        <w:rPr>
          <w:rFonts w:hint="eastAsia" w:ascii="Times New Roman"/>
        </w:rPr>
        <w:t>）</w:t>
      </w:r>
    </w:p>
    <w:p>
      <w:pPr>
        <w:pStyle w:val="58"/>
        <w:ind w:firstLine="420"/>
        <w:rPr>
          <w:rFonts w:ascii="Times New Roman"/>
        </w:rPr>
      </w:pPr>
      <w:r>
        <w:rPr>
          <w:rFonts w:ascii="Times New Roman"/>
        </w:rPr>
        <w:t xml:space="preserve">ACD </w:t>
      </w:r>
      <w:r>
        <w:rPr>
          <w:rFonts w:hint="eastAsia" w:ascii="Times New Roman"/>
        </w:rPr>
        <w:t>资源交换域（</w:t>
      </w:r>
      <w:r>
        <w:rPr>
          <w:rFonts w:ascii="Times New Roman"/>
        </w:rPr>
        <w:t>Access &amp; Communications Domain</w:t>
      </w:r>
      <w:r>
        <w:rPr>
          <w:rFonts w:hint="eastAsia" w:ascii="Times New Roman"/>
        </w:rPr>
        <w:t>）</w:t>
      </w:r>
    </w:p>
    <w:p>
      <w:pPr>
        <w:pStyle w:val="58"/>
        <w:ind w:firstLine="420"/>
        <w:rPr>
          <w:rFonts w:ascii="Times New Roman"/>
        </w:rPr>
      </w:pPr>
      <w:r>
        <w:rPr>
          <w:rFonts w:ascii="Times New Roman"/>
        </w:rPr>
        <w:t xml:space="preserve">ASD </w:t>
      </w:r>
      <w:r>
        <w:rPr>
          <w:rFonts w:hint="eastAsia" w:ascii="Times New Roman"/>
        </w:rPr>
        <w:t>服务提供域（</w:t>
      </w:r>
      <w:r>
        <w:rPr>
          <w:rFonts w:ascii="Times New Roman"/>
        </w:rPr>
        <w:t>Application &amp; Service Domain</w:t>
      </w:r>
      <w:r>
        <w:rPr>
          <w:rFonts w:hint="eastAsia" w:ascii="Times New Roman"/>
        </w:rPr>
        <w:t>）</w:t>
      </w:r>
    </w:p>
    <w:p>
      <w:pPr>
        <w:pStyle w:val="58"/>
        <w:ind w:firstLine="420"/>
        <w:rPr>
          <w:rFonts w:ascii="Times New Roman"/>
        </w:rPr>
      </w:pPr>
      <w:r>
        <w:rPr>
          <w:rFonts w:ascii="Times New Roman"/>
        </w:rPr>
        <w:t xml:space="preserve">OMD </w:t>
      </w:r>
      <w:r>
        <w:rPr>
          <w:rFonts w:hint="eastAsia" w:ascii="Times New Roman"/>
        </w:rPr>
        <w:t>运维管控域（</w:t>
      </w:r>
      <w:r>
        <w:rPr>
          <w:rFonts w:ascii="Times New Roman"/>
        </w:rPr>
        <w:t>Operation &amp; Management Domain</w:t>
      </w:r>
      <w:r>
        <w:rPr>
          <w:rFonts w:hint="eastAsia" w:ascii="Times New Roman"/>
        </w:rPr>
        <w:t>）</w:t>
      </w:r>
    </w:p>
    <w:p>
      <w:pPr>
        <w:pStyle w:val="58"/>
        <w:ind w:firstLine="420"/>
        <w:rPr>
          <w:rFonts w:ascii="Times New Roman"/>
        </w:rPr>
      </w:pPr>
      <w:r>
        <w:rPr>
          <w:rFonts w:ascii="Times New Roman"/>
        </w:rPr>
        <w:t xml:space="preserve">PED </w:t>
      </w:r>
      <w:r>
        <w:rPr>
          <w:rFonts w:hint="eastAsia" w:ascii="Times New Roman"/>
        </w:rPr>
        <w:t>目标对象域（</w:t>
      </w:r>
      <w:r>
        <w:rPr>
          <w:rFonts w:ascii="Times New Roman"/>
        </w:rPr>
        <w:t>Physical Entity Domain</w:t>
      </w:r>
      <w:r>
        <w:rPr>
          <w:rFonts w:hint="eastAsia" w:ascii="Times New Roman"/>
        </w:rPr>
        <w:t>）</w:t>
      </w:r>
    </w:p>
    <w:p>
      <w:pPr>
        <w:pStyle w:val="58"/>
        <w:ind w:firstLine="420"/>
        <w:rPr>
          <w:rFonts w:ascii="Times New Roman"/>
        </w:rPr>
      </w:pPr>
      <w:r>
        <w:rPr>
          <w:rFonts w:ascii="Times New Roman"/>
        </w:rPr>
        <w:t xml:space="preserve">SCD </w:t>
      </w:r>
      <w:r>
        <w:rPr>
          <w:rFonts w:hint="eastAsia" w:ascii="Times New Roman"/>
        </w:rPr>
        <w:t>感知控制域（</w:t>
      </w:r>
      <w:r>
        <w:rPr>
          <w:rFonts w:ascii="Times New Roman"/>
        </w:rPr>
        <w:t>Sensing and Controlling Domain</w:t>
      </w:r>
      <w:r>
        <w:rPr>
          <w:rFonts w:hint="eastAsia" w:ascii="Times New Roman"/>
        </w:rPr>
        <w:t>）</w:t>
      </w:r>
    </w:p>
    <w:p>
      <w:pPr>
        <w:pStyle w:val="58"/>
        <w:ind w:firstLine="420"/>
        <w:rPr>
          <w:rFonts w:ascii="Times New Roman"/>
        </w:rPr>
      </w:pPr>
      <w:r>
        <w:rPr>
          <w:rFonts w:ascii="Times New Roman"/>
        </w:rPr>
        <w:t xml:space="preserve">UD  </w:t>
      </w:r>
      <w:r>
        <w:rPr>
          <w:rFonts w:hint="eastAsia" w:ascii="Times New Roman"/>
        </w:rPr>
        <w:t>用户域（</w:t>
      </w:r>
      <w:r>
        <w:rPr>
          <w:rFonts w:ascii="Times New Roman"/>
        </w:rPr>
        <w:t>User Domain</w:t>
      </w:r>
      <w:r>
        <w:rPr>
          <w:rFonts w:hint="eastAsia" w:ascii="Times New Roman"/>
        </w:rPr>
        <w:t>）</w:t>
      </w:r>
    </w:p>
    <w:p>
      <w:pPr>
        <w:pStyle w:val="106"/>
        <w:spacing w:before="240" w:after="240"/>
      </w:pPr>
      <w:bookmarkStart w:id="38" w:name="_Toc114642326"/>
      <w:r>
        <w:rPr>
          <w:rFonts w:hint="eastAsia"/>
        </w:rPr>
        <w:t>概述</w:t>
      </w:r>
      <w:bookmarkEnd w:id="38"/>
    </w:p>
    <w:p>
      <w:pPr>
        <w:pStyle w:val="58"/>
        <w:ind w:firstLine="420"/>
      </w:pPr>
      <w:r>
        <w:rPr>
          <w:rFonts w:hint="eastAsia"/>
        </w:rPr>
        <w:t>构建VOC</w:t>
      </w:r>
      <w:r>
        <w:t>s</w:t>
      </w:r>
      <w:r>
        <w:rPr>
          <w:rFonts w:hint="eastAsia"/>
        </w:rPr>
        <w:t>监测溯源系统，应全面掌握VOC</w:t>
      </w:r>
      <w:r>
        <w:t>s</w:t>
      </w:r>
      <w:r>
        <w:rPr>
          <w:rFonts w:hint="eastAsia"/>
        </w:rPr>
        <w:t>和恶臭排放企业的排放特征，应实施重点企业VOC</w:t>
      </w:r>
      <w:r>
        <w:t>s</w:t>
      </w:r>
      <w:r>
        <w:rPr>
          <w:rFonts w:hint="eastAsia"/>
        </w:rPr>
        <w:t>和恶臭物质排污实时监控，应对环境敏感点实时监测，应实现环境空气快速预警预报、应急响应、污染溯源、环境评估等大气环境精准化管理，应为实现VOC</w:t>
      </w:r>
      <w:r>
        <w:t>s</w:t>
      </w:r>
      <w:r>
        <w:rPr>
          <w:rFonts w:hint="eastAsia"/>
        </w:rPr>
        <w:t>和恶臭排放企业的有效管控，削减环境空气臭氧污染水平，切实保障群众健康提供重要的科技创新支撑。</w:t>
      </w:r>
    </w:p>
    <w:p>
      <w:pPr>
        <w:pStyle w:val="106"/>
        <w:spacing w:before="240" w:after="240"/>
      </w:pPr>
      <w:bookmarkStart w:id="39" w:name="_Toc114642327"/>
      <w:r>
        <w:rPr>
          <w:rFonts w:hint="eastAsia"/>
        </w:rPr>
        <w:t>系统结构</w:t>
      </w:r>
      <w:bookmarkEnd w:id="39"/>
    </w:p>
    <w:p>
      <w:pPr>
        <w:pStyle w:val="58"/>
        <w:ind w:firstLine="0" w:firstLineChars="0"/>
        <w:jc w:val="center"/>
      </w:pPr>
      <w:r>
        <w:drawing>
          <wp:inline distT="0" distB="0" distL="0" distR="0">
            <wp:extent cx="3406140" cy="34486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6"/>
                    <a:stretch>
                      <a:fillRect/>
                    </a:stretch>
                  </pic:blipFill>
                  <pic:spPr>
                    <a:xfrm>
                      <a:off x="0" y="0"/>
                      <a:ext cx="3410556" cy="3453215"/>
                    </a:xfrm>
                    <a:prstGeom prst="rect">
                      <a:avLst/>
                    </a:prstGeom>
                  </pic:spPr>
                </pic:pic>
              </a:graphicData>
            </a:graphic>
          </wp:inline>
        </w:drawing>
      </w:r>
    </w:p>
    <w:p>
      <w:pPr>
        <w:pStyle w:val="116"/>
        <w:spacing w:before="120" w:after="120"/>
      </w:pPr>
      <w:r>
        <w:rPr>
          <w:rFonts w:hint="eastAsia"/>
        </w:rPr>
        <w:t>VOC</w:t>
      </w:r>
      <w:r>
        <w:t>s</w:t>
      </w:r>
      <w:r>
        <w:rPr>
          <w:rFonts w:hint="eastAsia"/>
        </w:rPr>
        <w:t>监测溯源系统结构图</w:t>
      </w:r>
    </w:p>
    <w:p>
      <w:pPr>
        <w:pStyle w:val="58"/>
        <w:ind w:firstLine="420"/>
      </w:pPr>
      <w:r>
        <w:rPr>
          <w:rFonts w:hint="eastAsia"/>
        </w:rPr>
        <w:t>图1给出了VOC</w:t>
      </w:r>
      <w:r>
        <w:t>s</w:t>
      </w:r>
      <w:r>
        <w:rPr>
          <w:rFonts w:hint="eastAsia"/>
        </w:rPr>
        <w:t>监测溯源系统结构，与GB/T 33474-2016 物联网参考体系结构一致，包括六个域：</w:t>
      </w:r>
    </w:p>
    <w:p>
      <w:pPr>
        <w:pStyle w:val="58"/>
        <w:ind w:firstLine="420"/>
      </w:pPr>
      <w:r>
        <w:rPr>
          <w:rFonts w:hint="eastAsia"/>
        </w:rPr>
        <w:t>a)</w:t>
      </w:r>
      <w:r>
        <w:rPr>
          <w:rFonts w:hint="eastAsia"/>
        </w:rPr>
        <w:tab/>
      </w:r>
      <w:r>
        <w:rPr>
          <w:rFonts w:hint="eastAsia"/>
        </w:rPr>
        <w:t>目标对象域（PED）由被监测的挥发性有机物、恶臭等大气监测因子。</w:t>
      </w:r>
    </w:p>
    <w:p>
      <w:pPr>
        <w:pStyle w:val="58"/>
        <w:ind w:firstLine="420"/>
      </w:pPr>
      <w:r>
        <w:rPr>
          <w:rFonts w:hint="eastAsia"/>
        </w:rPr>
        <w:t>b)</w:t>
      </w:r>
      <w:r>
        <w:rPr>
          <w:rFonts w:hint="eastAsia"/>
        </w:rPr>
        <w:tab/>
      </w:r>
      <w:r>
        <w:rPr>
          <w:rFonts w:hint="eastAsia"/>
        </w:rPr>
        <w:t>感知控制域（SCD）实现对大气环境感知，包括风速、风向、监测因子浓度等。</w:t>
      </w:r>
    </w:p>
    <w:p>
      <w:pPr>
        <w:pStyle w:val="58"/>
        <w:ind w:left="836" w:hanging="416" w:firstLineChars="0"/>
      </w:pPr>
      <w:r>
        <w:rPr>
          <w:rFonts w:hint="eastAsia"/>
        </w:rPr>
        <w:t>c)</w:t>
      </w:r>
      <w:r>
        <w:rPr>
          <w:rFonts w:hint="eastAsia"/>
        </w:rPr>
        <w:tab/>
      </w:r>
      <w:r>
        <w:rPr>
          <w:rFonts w:hint="eastAsia"/>
        </w:rPr>
        <w:t>服务提供领域（ASD）为用户提供对大气环境及污染源企业的V</w:t>
      </w:r>
      <w:r>
        <w:t>OC</w:t>
      </w:r>
      <w:r>
        <w:rPr>
          <w:rFonts w:hint="eastAsia"/>
        </w:rPr>
        <w:t>s监测溯源系统平台实现，实现VOCs污染源在线监控、数据综合管理、数据统计分析、气象辅助分析、报警一张图等功能实体。</w:t>
      </w:r>
    </w:p>
    <w:p>
      <w:pPr>
        <w:pStyle w:val="58"/>
        <w:ind w:firstLine="420"/>
      </w:pPr>
      <w:r>
        <w:rPr>
          <w:rFonts w:hint="eastAsia"/>
        </w:rPr>
        <w:t>d)</w:t>
      </w:r>
      <w:r>
        <w:rPr>
          <w:rFonts w:hint="eastAsia"/>
        </w:rPr>
        <w:tab/>
      </w:r>
      <w:r>
        <w:rPr>
          <w:rFonts w:hint="eastAsia"/>
        </w:rPr>
        <w:t>运维管控域（OMD）实现对系统的运行维护管理。</w:t>
      </w:r>
    </w:p>
    <w:p>
      <w:pPr>
        <w:pStyle w:val="58"/>
        <w:ind w:firstLine="420"/>
      </w:pPr>
      <w:r>
        <w:rPr>
          <w:rFonts w:hint="eastAsia"/>
        </w:rPr>
        <w:t>e)</w:t>
      </w:r>
      <w:r>
        <w:rPr>
          <w:rFonts w:hint="eastAsia"/>
        </w:rPr>
        <w:tab/>
      </w:r>
      <w:r>
        <w:rPr>
          <w:rFonts w:hint="eastAsia"/>
        </w:rPr>
        <w:t>资源交换域（ACD）提供与外部对接。</w:t>
      </w:r>
    </w:p>
    <w:p>
      <w:pPr>
        <w:pStyle w:val="58"/>
        <w:ind w:firstLine="420"/>
      </w:pPr>
      <w:r>
        <w:rPr>
          <w:rFonts w:hint="eastAsia"/>
        </w:rPr>
        <w:t>f)</w:t>
      </w:r>
      <w:r>
        <w:rPr>
          <w:rFonts w:hint="eastAsia"/>
        </w:rPr>
        <w:tab/>
      </w:r>
      <w:r>
        <w:rPr>
          <w:rFonts w:hint="eastAsia"/>
        </w:rPr>
        <w:t>用户域（UD）指VOC</w:t>
      </w:r>
      <w:r>
        <w:t>s</w:t>
      </w:r>
      <w:r>
        <w:rPr>
          <w:rFonts w:hint="eastAsia"/>
        </w:rPr>
        <w:t>监测溯源系统的用户，包括管理部门、专业用户和一般用户。</w:t>
      </w:r>
    </w:p>
    <w:p>
      <w:pPr>
        <w:pStyle w:val="58"/>
        <w:ind w:firstLine="420" w:firstLineChars="0"/>
      </w:pPr>
      <w:r>
        <w:rPr>
          <w:rFonts w:hint="eastAsia"/>
        </w:rPr>
        <w:t>以物联网系统结构为基础，本文件第7章给出了物联网VOC</w:t>
      </w:r>
      <w:r>
        <w:t>s</w:t>
      </w:r>
      <w:r>
        <w:rPr>
          <w:rFonts w:hint="eastAsia"/>
        </w:rPr>
        <w:t>监测溯源系统的技术规范，包括系统用户、环境感知设备、V</w:t>
      </w:r>
      <w:r>
        <w:t>OC</w:t>
      </w:r>
      <w:r>
        <w:rPr>
          <w:rFonts w:hint="eastAsia"/>
        </w:rPr>
        <w:t>s监测溯源系统、系统外部接口、系统运维管控的技术要求。</w:t>
      </w:r>
    </w:p>
    <w:p>
      <w:pPr>
        <w:pStyle w:val="106"/>
        <w:spacing w:before="240" w:after="240"/>
      </w:pPr>
      <w:bookmarkStart w:id="40" w:name="_Toc114642328"/>
      <w:r>
        <w:rPr>
          <w:rFonts w:hint="eastAsia"/>
        </w:rPr>
        <w:t>系统规范</w:t>
      </w:r>
      <w:bookmarkEnd w:id="40"/>
    </w:p>
    <w:p>
      <w:pPr>
        <w:pStyle w:val="107"/>
        <w:spacing w:before="120" w:after="120"/>
      </w:pPr>
      <w:bookmarkStart w:id="41" w:name="_Toc114642329"/>
      <w:r>
        <w:rPr>
          <w:rFonts w:hint="eastAsia"/>
        </w:rPr>
        <w:t>系统用户</w:t>
      </w:r>
      <w:bookmarkEnd w:id="41"/>
    </w:p>
    <w:p>
      <w:pPr>
        <w:pStyle w:val="67"/>
        <w:spacing w:before="120" w:after="120"/>
        <w:rPr>
          <w:szCs w:val="22"/>
          <w:lang w:eastAsia="zh-Hans"/>
        </w:rPr>
      </w:pPr>
      <w:bookmarkStart w:id="42" w:name="_Toc114642330"/>
      <w:r>
        <w:rPr>
          <w:rFonts w:hint="eastAsia"/>
          <w:szCs w:val="22"/>
          <w:lang w:eastAsia="zh-Hans"/>
        </w:rPr>
        <w:t>管理部门</w:t>
      </w:r>
      <w:bookmarkEnd w:id="42"/>
    </w:p>
    <w:p>
      <w:pPr>
        <w:pStyle w:val="58"/>
        <w:ind w:firstLine="420"/>
        <w:rPr>
          <w:lang w:eastAsia="zh-Hans"/>
        </w:rPr>
      </w:pPr>
      <w:r>
        <w:rPr>
          <w:rFonts w:hint="eastAsia"/>
          <w:lang w:eastAsia="zh-Hans"/>
        </w:rPr>
        <w:t>应指需要进行挥发性有机物和恶臭日常监管的各类机构用户（环保厅、市级或区县级环保局、环保大队等）。</w:t>
      </w:r>
    </w:p>
    <w:p>
      <w:pPr>
        <w:pStyle w:val="58"/>
        <w:ind w:firstLine="420"/>
        <w:rPr>
          <w:lang w:eastAsia="zh-Hans"/>
        </w:rPr>
      </w:pPr>
      <w:r>
        <w:rPr>
          <w:rFonts w:hint="eastAsia"/>
          <w:lang w:eastAsia="zh-Hans"/>
        </w:rPr>
        <w:t>根据要求，管理部门应及时对平台内展示的挥发性有机物及恶臭数值进行查看，并应在平台中进行溯源工作，并应结合预测结果提前对相关企业进行巡查工作，避免超标排放或偷漏排的发生。</w:t>
      </w:r>
    </w:p>
    <w:p>
      <w:pPr>
        <w:pStyle w:val="67"/>
        <w:spacing w:before="120" w:after="120"/>
        <w:rPr>
          <w:szCs w:val="22"/>
          <w:lang w:eastAsia="zh-Hans"/>
        </w:rPr>
      </w:pPr>
      <w:bookmarkStart w:id="43" w:name="_Toc114642331"/>
      <w:r>
        <w:rPr>
          <w:rFonts w:hint="eastAsia"/>
          <w:szCs w:val="22"/>
          <w:lang w:eastAsia="zh-Hans"/>
        </w:rPr>
        <w:t>专业用户</w:t>
      </w:r>
      <w:bookmarkEnd w:id="43"/>
    </w:p>
    <w:p>
      <w:pPr>
        <w:pStyle w:val="58"/>
        <w:ind w:firstLine="420"/>
        <w:rPr>
          <w:lang w:eastAsia="zh-Hans"/>
        </w:rPr>
      </w:pPr>
      <w:r>
        <w:rPr>
          <w:rFonts w:hint="eastAsia"/>
          <w:lang w:eastAsia="zh-Hans"/>
        </w:rPr>
        <w:t>应指进行大气扩散模型及溯源模型分析的用户。</w:t>
      </w:r>
    </w:p>
    <w:p>
      <w:pPr>
        <w:pStyle w:val="58"/>
        <w:ind w:firstLine="420"/>
        <w:rPr>
          <w:lang w:eastAsia="zh-Hans"/>
        </w:rPr>
      </w:pPr>
      <w:r>
        <w:rPr>
          <w:rFonts w:hint="eastAsia"/>
          <w:lang w:eastAsia="zh-Hans"/>
        </w:rPr>
        <w:t>根据要求，专业用户应日常登陆平台查看扩散模型和溯源模型的运行情况。</w:t>
      </w:r>
    </w:p>
    <w:p>
      <w:pPr>
        <w:pStyle w:val="67"/>
        <w:spacing w:before="120" w:after="120"/>
        <w:rPr>
          <w:szCs w:val="22"/>
          <w:lang w:eastAsia="zh-Hans"/>
        </w:rPr>
      </w:pPr>
      <w:bookmarkStart w:id="44" w:name="_Toc114642332"/>
      <w:r>
        <w:rPr>
          <w:rFonts w:hint="eastAsia"/>
          <w:szCs w:val="22"/>
          <w:lang w:eastAsia="zh-Hans"/>
        </w:rPr>
        <w:t>一般用户</w:t>
      </w:r>
      <w:bookmarkEnd w:id="44"/>
    </w:p>
    <w:p>
      <w:pPr>
        <w:pStyle w:val="58"/>
        <w:ind w:firstLine="420"/>
        <w:rPr>
          <w:lang w:eastAsia="zh-Hans"/>
        </w:rPr>
      </w:pPr>
      <w:r>
        <w:rPr>
          <w:rFonts w:hint="eastAsia"/>
          <w:lang w:eastAsia="zh-Hans"/>
        </w:rPr>
        <w:t>应指在日常工作中登录平台查看在线监测设备数据，进行数据统计的用户。</w:t>
      </w:r>
    </w:p>
    <w:p>
      <w:pPr>
        <w:pStyle w:val="58"/>
        <w:ind w:firstLine="420"/>
        <w:rPr>
          <w:lang w:eastAsia="zh-Hans"/>
        </w:rPr>
      </w:pPr>
      <w:r>
        <w:rPr>
          <w:rFonts w:hint="eastAsia"/>
          <w:lang w:eastAsia="zh-Hans"/>
        </w:rPr>
        <w:t>根据要求，一般用户应在日常工作中查看在线监测设备数据、预报预警事件和溯源分析结果。</w:t>
      </w:r>
    </w:p>
    <w:p>
      <w:pPr>
        <w:pStyle w:val="107"/>
        <w:spacing w:before="120" w:after="120"/>
      </w:pPr>
      <w:bookmarkStart w:id="45" w:name="_Toc114642333"/>
      <w:r>
        <w:rPr>
          <w:rFonts w:hint="eastAsia"/>
        </w:rPr>
        <w:t>环境感知设备</w:t>
      </w:r>
      <w:bookmarkEnd w:id="45"/>
    </w:p>
    <w:p>
      <w:pPr>
        <w:pStyle w:val="67"/>
        <w:spacing w:before="120" w:after="120"/>
        <w:rPr>
          <w:szCs w:val="22"/>
          <w:lang w:eastAsia="zh-Hans"/>
        </w:rPr>
      </w:pPr>
      <w:bookmarkStart w:id="46" w:name="_Toc114642334"/>
      <w:r>
        <w:rPr>
          <w:rFonts w:hint="eastAsia"/>
          <w:szCs w:val="22"/>
          <w:lang w:eastAsia="zh-Hans"/>
        </w:rPr>
        <w:t>在线VOCs质谱仪</w:t>
      </w:r>
      <w:bookmarkEnd w:id="46"/>
    </w:p>
    <w:p>
      <w:pPr>
        <w:pStyle w:val="58"/>
        <w:ind w:firstLine="420"/>
        <w:rPr>
          <w:lang w:eastAsia="zh-Hans"/>
        </w:rPr>
      </w:pPr>
      <w:r>
        <w:rPr>
          <w:rFonts w:hint="eastAsia"/>
          <w:lang w:eastAsia="zh-Hans"/>
        </w:rPr>
        <w:t>系统应提供近实时在线监测空气中的挥发性有机物，并应包括但不限于安装在移动的监测车和常规的实验室中，无需制冷剂，提供连续的空气采样和实时在线分析。主要用于分析TO-15、PAMS及OVOCs等116种化合物。并应通过各种有线或ADSL网络通讯端口，实现现场监测数据及状态与中心服务器端的信息交互。</w:t>
      </w:r>
    </w:p>
    <w:p>
      <w:pPr>
        <w:pStyle w:val="67"/>
        <w:spacing w:before="120" w:after="120"/>
        <w:rPr>
          <w:szCs w:val="22"/>
          <w:lang w:eastAsia="zh-Hans"/>
        </w:rPr>
      </w:pPr>
      <w:bookmarkStart w:id="47" w:name="_Toc114642335"/>
      <w:r>
        <w:rPr>
          <w:rFonts w:hint="eastAsia"/>
          <w:szCs w:val="22"/>
          <w:lang w:eastAsia="zh-Hans"/>
        </w:rPr>
        <w:t>微站设备</w:t>
      </w:r>
      <w:bookmarkEnd w:id="47"/>
    </w:p>
    <w:p>
      <w:pPr>
        <w:pStyle w:val="58"/>
        <w:ind w:firstLine="420"/>
        <w:rPr>
          <w:lang w:eastAsia="zh-Hans"/>
        </w:rPr>
      </w:pPr>
      <w:r>
        <w:rPr>
          <w:rFonts w:hint="eastAsia"/>
          <w:lang w:eastAsia="zh-Hans"/>
        </w:rPr>
        <w:t>系统应适用于各种工业环境和特殊环境中的多种混合气体浓度检测，应在屏幕上直观查看历史数据，具有数据存储、数据导出等多种功能。此外，监测系统也应接上DTU，把数据上传到服务器端，从而在PC端应能够查看即时数据和历史数据。</w:t>
      </w:r>
    </w:p>
    <w:p>
      <w:pPr>
        <w:pStyle w:val="67"/>
        <w:spacing w:before="120" w:after="120"/>
        <w:rPr>
          <w:szCs w:val="22"/>
          <w:lang w:eastAsia="zh-Hans"/>
        </w:rPr>
      </w:pPr>
      <w:bookmarkStart w:id="48" w:name="_Toc114642336"/>
      <w:r>
        <w:rPr>
          <w:rFonts w:hint="eastAsia"/>
          <w:szCs w:val="22"/>
          <w:lang w:eastAsia="zh-Hans"/>
        </w:rPr>
        <w:t>VOCs质谱仪走航监测车</w:t>
      </w:r>
      <w:bookmarkEnd w:id="48"/>
    </w:p>
    <w:p>
      <w:pPr>
        <w:pStyle w:val="58"/>
        <w:ind w:firstLine="420"/>
        <w:rPr>
          <w:lang w:eastAsia="zh-Hans"/>
        </w:rPr>
      </w:pPr>
      <w:r>
        <w:rPr>
          <w:rFonts w:hint="eastAsia"/>
          <w:lang w:eastAsia="zh-Hans"/>
        </w:rPr>
        <w:t>应具备质谱检测模块，应使用标气校准，应对空气中的</w:t>
      </w:r>
      <w:r>
        <w:rPr>
          <w:rFonts w:hint="eastAsia"/>
        </w:rPr>
        <w:t>V</w:t>
      </w:r>
      <w:r>
        <w:t>OC</w:t>
      </w:r>
      <w:r>
        <w:rPr>
          <w:rFonts w:hint="eastAsia"/>
        </w:rPr>
        <w:t>s先车载连续走航监测。应能够在移动走航观测模式下，实现V</w:t>
      </w:r>
      <w:r>
        <w:t>OC</w:t>
      </w:r>
      <w:r>
        <w:rPr>
          <w:rFonts w:hint="eastAsia"/>
        </w:rPr>
        <w:t>s组分的定性与浓度的定量监测（对总挥发性有机物及各组分分别定量），并应将走航监测数据接入V</w:t>
      </w:r>
      <w:r>
        <w:t>OC</w:t>
      </w:r>
      <w:r>
        <w:rPr>
          <w:rFonts w:hint="eastAsia"/>
        </w:rPr>
        <w:t>s监测溯源系统</w:t>
      </w:r>
      <w:r>
        <w:rPr>
          <w:rFonts w:hint="eastAsia"/>
          <w:lang w:eastAsia="zh-Hans"/>
        </w:rPr>
        <w:t>。</w:t>
      </w:r>
    </w:p>
    <w:p>
      <w:pPr>
        <w:pStyle w:val="107"/>
        <w:spacing w:before="120" w:after="120"/>
      </w:pPr>
      <w:bookmarkStart w:id="49" w:name="_Toc114642337"/>
      <w:r>
        <w:rPr>
          <w:rFonts w:hint="eastAsia"/>
        </w:rPr>
        <w:t>系统功能</w:t>
      </w:r>
      <w:bookmarkEnd w:id="49"/>
    </w:p>
    <w:p>
      <w:pPr>
        <w:pStyle w:val="67"/>
        <w:spacing w:before="120" w:after="120"/>
        <w:rPr>
          <w:szCs w:val="22"/>
          <w:lang w:eastAsia="zh-Hans"/>
        </w:rPr>
      </w:pPr>
      <w:bookmarkStart w:id="50" w:name="_Toc114642338"/>
      <w:r>
        <w:rPr>
          <w:rFonts w:hint="eastAsia"/>
          <w:szCs w:val="22"/>
          <w:lang w:eastAsia="zh-Hans"/>
        </w:rPr>
        <w:t>VOCs污染源在线监控</w:t>
      </w:r>
      <w:bookmarkEnd w:id="50"/>
    </w:p>
    <w:p>
      <w:pPr>
        <w:pStyle w:val="58"/>
        <w:ind w:firstLine="420"/>
        <w:rPr>
          <w:lang w:eastAsia="zh-Hans"/>
        </w:rPr>
      </w:pPr>
      <w:r>
        <w:rPr>
          <w:rFonts w:hint="eastAsia"/>
          <w:lang w:eastAsia="zh-Hans"/>
        </w:rPr>
        <w:t>应通过对辖区内的污染源企业建立污染源全生命周期档案，归纳整理对应企业的基本信息，包括企业名称、统一社会信用代码、组织机构代码、污染源类型、企业地址、法人信息等。</w:t>
      </w:r>
    </w:p>
    <w:p>
      <w:pPr>
        <w:pStyle w:val="58"/>
        <w:ind w:firstLine="420"/>
        <w:rPr>
          <w:lang w:eastAsia="zh-Hans"/>
        </w:rPr>
      </w:pPr>
      <w:r>
        <w:rPr>
          <w:rFonts w:hint="eastAsia"/>
          <w:lang w:eastAsia="zh-Hans"/>
        </w:rPr>
        <w:t>在一企一档功能中应对企业基本信息进行新增、删除、修改和查询操作，使机构用户用户在污染源企业管理工作上达到无纸化办公的效果。</w:t>
      </w:r>
    </w:p>
    <w:p>
      <w:pPr>
        <w:pStyle w:val="67"/>
        <w:spacing w:before="120" w:after="120"/>
        <w:rPr>
          <w:szCs w:val="22"/>
          <w:lang w:eastAsia="zh-Hans"/>
        </w:rPr>
      </w:pPr>
      <w:bookmarkStart w:id="51" w:name="_Toc114642339"/>
      <w:r>
        <w:rPr>
          <w:rFonts w:hint="eastAsia"/>
          <w:szCs w:val="22"/>
          <w:lang w:eastAsia="zh-Hans"/>
        </w:rPr>
        <w:t>数据综合管理</w:t>
      </w:r>
      <w:bookmarkEnd w:id="51"/>
    </w:p>
    <w:p>
      <w:pPr>
        <w:pStyle w:val="58"/>
        <w:ind w:firstLine="420"/>
      </w:pPr>
      <w:r>
        <w:rPr>
          <w:rFonts w:hint="eastAsia"/>
          <w:lang w:eastAsia="zh-Hans"/>
        </w:rPr>
        <w:t>应能够按数据类型（厂界监测、敏感点监测、移动式立体监测、无人机航拍和监测等类型）、时间段查询污染物历史排放数据，包括小时数据、日数据、超标数据、原始数据，并应配置要显示的监测因子，查询结果应导出为Excel文件和图片，应通过曲线展示单个站点多个因子的历史变化趋势。</w:t>
      </w:r>
      <w:r>
        <w:rPr>
          <w:rFonts w:hint="eastAsia"/>
        </w:rPr>
        <w:t>。</w:t>
      </w:r>
    </w:p>
    <w:p>
      <w:pPr>
        <w:pStyle w:val="67"/>
        <w:spacing w:before="120" w:after="120"/>
        <w:rPr>
          <w:szCs w:val="22"/>
          <w:lang w:eastAsia="zh-Hans"/>
        </w:rPr>
      </w:pPr>
      <w:bookmarkStart w:id="52" w:name="_Toc114642340"/>
      <w:r>
        <w:rPr>
          <w:rFonts w:hint="eastAsia"/>
          <w:szCs w:val="22"/>
          <w:lang w:eastAsia="zh-Hans"/>
        </w:rPr>
        <w:t>数据统计分析</w:t>
      </w:r>
      <w:bookmarkEnd w:id="52"/>
    </w:p>
    <w:p>
      <w:pPr>
        <w:pStyle w:val="58"/>
        <w:ind w:firstLine="420"/>
        <w:rPr>
          <w:lang w:eastAsia="zh-Hans"/>
        </w:rPr>
      </w:pPr>
      <w:r>
        <w:rPr>
          <w:rFonts w:hint="eastAsia"/>
          <w:lang w:eastAsia="zh-Hans"/>
        </w:rPr>
        <w:t>应支持按TVOC、非甲烷总烃等监测因子进行时均值、日均值、月均值、年均值及任意时段的实时倒序、正序排名。应提现不同时间尺度下监测站的排名位次情况。应提供完善的报表定制功能，接入实时监测数据和历史数据，应自动抓取数据生成数据报表，并应实现上传功能。并且应提供通报报告管理功能，用于生态环境管理部门对污染物排放量排名靠前的企业、超标企业等对象发布通报。</w:t>
      </w:r>
    </w:p>
    <w:p>
      <w:pPr>
        <w:pStyle w:val="67"/>
        <w:spacing w:before="120" w:after="120"/>
        <w:rPr>
          <w:szCs w:val="22"/>
          <w:lang w:eastAsia="zh-Hans"/>
        </w:rPr>
      </w:pPr>
      <w:bookmarkStart w:id="53" w:name="_Toc114642341"/>
      <w:r>
        <w:rPr>
          <w:rFonts w:hint="eastAsia"/>
          <w:szCs w:val="22"/>
          <w:lang w:eastAsia="zh-Hans"/>
        </w:rPr>
        <w:t>气象辅助分析</w:t>
      </w:r>
      <w:bookmarkEnd w:id="53"/>
    </w:p>
    <w:p>
      <w:pPr>
        <w:pStyle w:val="58"/>
        <w:ind w:firstLine="420"/>
        <w:rPr>
          <w:lang w:eastAsia="zh-Hans"/>
        </w:rPr>
      </w:pPr>
      <w:r>
        <w:rPr>
          <w:rFonts w:hint="eastAsia"/>
          <w:lang w:eastAsia="zh-Hans"/>
        </w:rPr>
        <w:t>应支持VOCs风速风向变化特征分析和气象要素与污染因子线性回归分析，并应支持生成气象与空气质量分析报告。</w:t>
      </w:r>
    </w:p>
    <w:p>
      <w:pPr>
        <w:pStyle w:val="67"/>
        <w:spacing w:before="120" w:after="120"/>
        <w:rPr>
          <w:szCs w:val="22"/>
          <w:lang w:eastAsia="zh-Hans"/>
        </w:rPr>
      </w:pPr>
      <w:bookmarkStart w:id="54" w:name="_Toc114642342"/>
      <w:r>
        <w:rPr>
          <w:rFonts w:hint="eastAsia"/>
          <w:szCs w:val="22"/>
          <w:lang w:eastAsia="zh-Hans"/>
        </w:rPr>
        <w:t>报警一张图</w:t>
      </w:r>
      <w:bookmarkEnd w:id="54"/>
    </w:p>
    <w:p>
      <w:pPr>
        <w:pStyle w:val="58"/>
        <w:ind w:firstLine="420"/>
        <w:rPr>
          <w:lang w:eastAsia="zh-Hans"/>
        </w:rPr>
      </w:pPr>
      <w:r>
        <w:rPr>
          <w:rFonts w:hint="eastAsia"/>
          <w:lang w:eastAsia="zh-Hans"/>
        </w:rPr>
        <w:t>应基于GIS技术配合逻辑判断和智能分析技术，在监测数据出现数据超标、设备断线、设备故障、恒值等状况时，应及时通知生态环境管理部门相关人员。</w:t>
      </w:r>
    </w:p>
    <w:p>
      <w:pPr>
        <w:pStyle w:val="67"/>
        <w:spacing w:before="120" w:after="120"/>
        <w:rPr>
          <w:szCs w:val="22"/>
          <w:lang w:eastAsia="zh-Hans"/>
        </w:rPr>
      </w:pPr>
      <w:bookmarkStart w:id="55" w:name="_Toc114642343"/>
      <w:r>
        <w:rPr>
          <w:rFonts w:hint="eastAsia"/>
          <w:szCs w:val="22"/>
          <w:lang w:eastAsia="zh-Hans"/>
        </w:rPr>
        <w:t>污染趋势预警</w:t>
      </w:r>
      <w:bookmarkEnd w:id="55"/>
    </w:p>
    <w:p>
      <w:pPr>
        <w:pStyle w:val="58"/>
        <w:ind w:firstLine="420"/>
        <w:rPr>
          <w:lang w:eastAsia="zh-Hans"/>
        </w:rPr>
      </w:pPr>
      <w:r>
        <w:rPr>
          <w:rFonts w:hint="eastAsia"/>
          <w:lang w:eastAsia="zh-Hans"/>
        </w:rPr>
        <w:t>应通过对历史和实时，静态和动态数据进行统计学分析与预测实现重点企业的VOCs和恶臭物质排放强度估算，并应建立园区重点管控企业及重点管控污染物库，协助业务人员对污染事件的发生进行提前预警。同时应借助离线扩散模型，系统每月定期或者特定污染事件期间提供相应的产品推送，自动生成预警报告并将预警信息发送给相关人员。</w:t>
      </w:r>
    </w:p>
    <w:p>
      <w:pPr>
        <w:pStyle w:val="58"/>
        <w:ind w:firstLine="420"/>
        <w:rPr>
          <w:lang w:eastAsia="zh-Hans"/>
        </w:rPr>
      </w:pPr>
      <w:r>
        <w:rPr>
          <w:rFonts w:hint="eastAsia"/>
          <w:lang w:eastAsia="zh-Hans"/>
        </w:rPr>
        <w:t>系统应通过扩散模拟获得各类污染物质的区域落点浓度分布图，将其结果叠加GIS进行地图可视化展示，直观了解具体的污染排放源对区域的整体影响情况。应支持应用历史气象数据及排放清单来模拟历史污染扩散情况，进一步实现历史案例的挖掘分析；应该应用预测气象数据及减量减排等清单来模拟得到预测污染扩散情况，应实现减排情景的影响预判。</w:t>
      </w:r>
    </w:p>
    <w:p>
      <w:pPr>
        <w:pStyle w:val="67"/>
        <w:spacing w:before="120" w:after="120"/>
        <w:rPr>
          <w:szCs w:val="22"/>
          <w:lang w:eastAsia="zh-Hans"/>
        </w:rPr>
      </w:pPr>
      <w:bookmarkStart w:id="56" w:name="_Toc114642344"/>
      <w:r>
        <w:rPr>
          <w:rFonts w:hint="eastAsia"/>
          <w:szCs w:val="22"/>
          <w:lang w:eastAsia="zh-Hans"/>
        </w:rPr>
        <w:t>异味扩散模型和污染来源跟踪</w:t>
      </w:r>
      <w:bookmarkEnd w:id="56"/>
    </w:p>
    <w:p>
      <w:pPr>
        <w:pStyle w:val="58"/>
        <w:ind w:firstLine="420"/>
        <w:rPr>
          <w:lang w:eastAsia="zh-Hans"/>
        </w:rPr>
      </w:pPr>
      <w:r>
        <w:rPr>
          <w:rFonts w:hint="eastAsia"/>
          <w:lang w:eastAsia="zh-Hans"/>
        </w:rPr>
        <w:t>应结合采集的企业名录及重点污染源VOCs指纹谱辅以人工审核校正实现各企业VOCs物种特征的动态管理，配合大气污染成分采样分析技术手段，应实现物种的动态扩展，便于用户科学分析工业园区污染来源。并且应通过建立异味扩散路径模型，根据企业生产行为和指纹谱进行污染源自动识别定位。当出现厂界或敏感点监测高值报警时，应进行综合分析特异性高值物种类别，结合各网络点位监测设备数据、重点污染源气在线数据应自动进行污染企业来源预判，同时结合地理位置和风速风向信息，应进一步筛查源头污染企业，辅助决策者实现靶向定位和精准治污，进一步保障工业园区空气质量持续改善。</w:t>
      </w:r>
    </w:p>
    <w:p>
      <w:pPr>
        <w:pStyle w:val="107"/>
        <w:spacing w:before="120" w:after="120"/>
      </w:pPr>
      <w:bookmarkStart w:id="57" w:name="_Toc114642345"/>
      <w:bookmarkStart w:id="58" w:name="_Toc1920384453"/>
      <w:r>
        <w:rPr>
          <w:rFonts w:hint="eastAsia"/>
        </w:rPr>
        <w:t>外部接口</w:t>
      </w:r>
      <w:bookmarkEnd w:id="57"/>
    </w:p>
    <w:p>
      <w:pPr>
        <w:pStyle w:val="67"/>
        <w:spacing w:before="120" w:after="120"/>
        <w:rPr>
          <w:szCs w:val="22"/>
          <w:lang w:eastAsia="zh-Hans"/>
        </w:rPr>
      </w:pPr>
      <w:bookmarkStart w:id="59" w:name="_Toc114642346"/>
      <w:bookmarkStart w:id="60" w:name="_Toc1634056154"/>
      <w:r>
        <w:rPr>
          <w:rFonts w:hint="eastAsia"/>
          <w:szCs w:val="22"/>
          <w:lang w:eastAsia="zh-Hans"/>
        </w:rPr>
        <w:t>环境质量感知数据交换</w:t>
      </w:r>
      <w:bookmarkEnd w:id="59"/>
      <w:bookmarkEnd w:id="60"/>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环境质量感知数据交换能实现系统与其他系统之间对来自感知控制域和服务提供域的大气环境相关的感知数据的交互。</w:t>
      </w:r>
    </w:p>
    <w:p>
      <w:pPr>
        <w:pStyle w:val="67"/>
        <w:spacing w:before="120" w:after="120"/>
        <w:rPr>
          <w:szCs w:val="22"/>
          <w:lang w:eastAsia="zh-Hans"/>
        </w:rPr>
      </w:pPr>
      <w:bookmarkStart w:id="61" w:name="_Toc1560902442"/>
      <w:bookmarkStart w:id="62" w:name="_Toc114642347"/>
      <w:r>
        <w:rPr>
          <w:rFonts w:hint="eastAsia"/>
          <w:szCs w:val="22"/>
          <w:lang w:eastAsia="zh-Hans"/>
        </w:rPr>
        <w:t>其它数据交换</w:t>
      </w:r>
      <w:bookmarkEnd w:id="61"/>
      <w:bookmarkEnd w:id="62"/>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系统应实现与大气数据中心或大数据平台的数据交换。</w:t>
      </w:r>
    </w:p>
    <w:p>
      <w:pPr>
        <w:pStyle w:val="67"/>
        <w:spacing w:before="120" w:after="120"/>
        <w:rPr>
          <w:szCs w:val="22"/>
          <w:lang w:eastAsia="zh-Hans"/>
        </w:rPr>
      </w:pPr>
      <w:bookmarkStart w:id="63" w:name="_Toc427110942"/>
      <w:bookmarkStart w:id="64" w:name="_Toc114642348"/>
      <w:r>
        <w:rPr>
          <w:rFonts w:hint="eastAsia"/>
          <w:szCs w:val="22"/>
          <w:lang w:eastAsia="zh-Hans"/>
        </w:rPr>
        <w:t>气象数据对接</w:t>
      </w:r>
      <w:bookmarkEnd w:id="63"/>
      <w:bookmarkEnd w:id="64"/>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lang w:eastAsia="zh-Hans"/>
        </w:rPr>
      </w:pPr>
      <w:r>
        <w:rPr>
          <w:rFonts w:hint="eastAsia" w:ascii="Times New Roman" w:hAnsi="Times New Roman"/>
          <w:kern w:val="0"/>
          <w:szCs w:val="20"/>
        </w:rPr>
        <w:t>系统应实现与气象站数据对接，获取风向、风速等气象数据</w:t>
      </w:r>
      <w:r>
        <w:rPr>
          <w:rFonts w:ascii="Times New Roman" w:hAnsi="Times New Roman"/>
          <w:kern w:val="0"/>
          <w:szCs w:val="20"/>
          <w:lang w:eastAsia="zh-Hans"/>
        </w:rPr>
        <w:t>。</w:t>
      </w:r>
    </w:p>
    <w:p>
      <w:pPr>
        <w:pStyle w:val="107"/>
        <w:spacing w:before="120" w:after="120"/>
      </w:pPr>
      <w:bookmarkStart w:id="65" w:name="_Toc114642349"/>
      <w:r>
        <w:rPr>
          <w:rFonts w:hint="eastAsia"/>
        </w:rPr>
        <w:t>系统运维</w:t>
      </w:r>
      <w:bookmarkEnd w:id="65"/>
    </w:p>
    <w:p>
      <w:pPr>
        <w:pStyle w:val="67"/>
        <w:spacing w:before="120" w:after="120"/>
        <w:rPr>
          <w:szCs w:val="22"/>
          <w:lang w:eastAsia="zh-Hans"/>
        </w:rPr>
      </w:pPr>
      <w:bookmarkStart w:id="66" w:name="_Toc1293696042"/>
      <w:bookmarkStart w:id="67" w:name="_Toc114642350"/>
      <w:r>
        <w:rPr>
          <w:rFonts w:hint="eastAsia"/>
          <w:szCs w:val="22"/>
          <w:lang w:eastAsia="zh-Hans"/>
        </w:rPr>
        <w:t>设备管理</w:t>
      </w:r>
      <w:bookmarkEnd w:id="66"/>
      <w:bookmarkEnd w:id="67"/>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系统应具备设备配置管理功能，可通过本地或远程管理，维护设备的性能和状态，包括日志记录、故障诊断、固件管理、电源管理等。</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系统的软件应能通过子系统软件模块进行升级。</w:t>
      </w:r>
    </w:p>
    <w:p>
      <w:pPr>
        <w:pStyle w:val="67"/>
        <w:spacing w:before="120" w:after="120"/>
        <w:rPr>
          <w:szCs w:val="22"/>
          <w:lang w:eastAsia="zh-Hans"/>
        </w:rPr>
      </w:pPr>
      <w:bookmarkStart w:id="68" w:name="_Toc114642351"/>
      <w:r>
        <w:rPr>
          <w:rFonts w:hint="eastAsia"/>
          <w:szCs w:val="22"/>
          <w:lang w:eastAsia="zh-Hans"/>
        </w:rPr>
        <w:t>安全管理</w:t>
      </w:r>
      <w:bookmarkEnd w:id="68"/>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系统应确保网络安全和用户的隐私和安全。</w:t>
      </w:r>
    </w:p>
    <w:p>
      <w:pPr>
        <w:numPr>
          <w:ilvl w:val="0"/>
          <w:numId w:val="33"/>
        </w:numPr>
        <w:adjustRightInd/>
        <w:spacing w:line="240" w:lineRule="auto"/>
        <w:ind w:left="840"/>
        <w:rPr>
          <w:rFonts w:ascii="Times New Roman" w:hAnsi="Times New Roman"/>
          <w:szCs w:val="24"/>
        </w:rPr>
      </w:pPr>
      <w:r>
        <w:rPr>
          <w:rFonts w:hint="eastAsia" w:ascii="Times New Roman" w:hAnsi="Times New Roman"/>
          <w:szCs w:val="24"/>
        </w:rPr>
        <w:t>禁止非法外部访问和终端访问。</w:t>
      </w:r>
    </w:p>
    <w:p>
      <w:pPr>
        <w:numPr>
          <w:ilvl w:val="0"/>
          <w:numId w:val="33"/>
        </w:numPr>
        <w:adjustRightInd/>
        <w:spacing w:line="240" w:lineRule="auto"/>
        <w:ind w:left="840"/>
        <w:rPr>
          <w:rFonts w:ascii="Times New Roman" w:hAnsi="Times New Roman"/>
          <w:szCs w:val="24"/>
        </w:rPr>
      </w:pPr>
      <w:r>
        <w:rPr>
          <w:rFonts w:hint="eastAsia" w:ascii="Times New Roman" w:hAnsi="Times New Roman"/>
          <w:szCs w:val="24"/>
        </w:rPr>
        <w:t>用户信息应具有真实性、完整性和机密性，防止任何未经授权的访问。</w:t>
      </w:r>
    </w:p>
    <w:p>
      <w:pPr>
        <w:pStyle w:val="67"/>
        <w:spacing w:before="120" w:after="120"/>
        <w:rPr>
          <w:szCs w:val="22"/>
          <w:lang w:eastAsia="zh-Hans"/>
        </w:rPr>
      </w:pPr>
      <w:bookmarkStart w:id="69" w:name="_Toc114642352"/>
      <w:r>
        <w:rPr>
          <w:rFonts w:hint="eastAsia"/>
          <w:szCs w:val="22"/>
          <w:lang w:eastAsia="zh-Hans"/>
        </w:rPr>
        <w:t>数据备份</w:t>
      </w:r>
      <w:bookmarkEnd w:id="58"/>
      <w:bookmarkEnd w:id="69"/>
    </w:p>
    <w:p>
      <w:pPr>
        <w:pStyle w:val="58"/>
        <w:ind w:firstLine="420"/>
        <w:rPr>
          <w:rFonts w:ascii="Times New Roman"/>
        </w:rPr>
      </w:pPr>
      <w:r>
        <w:rPr>
          <w:rFonts w:hint="eastAsia" w:ascii="Times New Roman"/>
        </w:rPr>
        <w:t>系统中的数据应及时备份以备出现断电等意外状况，数据应能在系统恢复后重新找回。</w:t>
      </w:r>
    </w:p>
    <w:p>
      <w:pPr>
        <w:pStyle w:val="67"/>
        <w:spacing w:before="120" w:after="120"/>
        <w:rPr>
          <w:szCs w:val="22"/>
          <w:lang w:eastAsia="zh-Hans"/>
        </w:rPr>
      </w:pPr>
      <w:bookmarkStart w:id="70" w:name="_Toc1369770808"/>
      <w:bookmarkStart w:id="71" w:name="_Toc114642353"/>
      <w:r>
        <w:rPr>
          <w:rFonts w:hint="eastAsia"/>
          <w:szCs w:val="22"/>
          <w:lang w:eastAsia="zh-Hans"/>
        </w:rPr>
        <w:t>日志记录</w:t>
      </w:r>
      <w:bookmarkEnd w:id="70"/>
      <w:bookmarkEnd w:id="71"/>
    </w:p>
    <w:p>
      <w:pPr>
        <w:pStyle w:val="58"/>
        <w:ind w:firstLine="420"/>
        <w:rPr>
          <w:lang w:eastAsia="zh-Hans"/>
        </w:rPr>
      </w:pPr>
      <w:r>
        <w:rPr>
          <w:rFonts w:hint="eastAsia"/>
          <w:szCs w:val="22"/>
          <w:lang w:eastAsia="zh-Hans"/>
        </w:rPr>
        <w:t>系统应将用户操作</w:t>
      </w:r>
      <w:r>
        <w:rPr>
          <w:szCs w:val="22"/>
          <w:lang w:eastAsia="zh-Hans"/>
        </w:rPr>
        <w:t>、</w:t>
      </w:r>
      <w:r>
        <w:rPr>
          <w:rFonts w:hint="eastAsia"/>
          <w:szCs w:val="22"/>
          <w:lang w:eastAsia="zh-Hans"/>
        </w:rPr>
        <w:t>系统维护等形成日志文件</w:t>
      </w:r>
      <w:r>
        <w:rPr>
          <w:szCs w:val="22"/>
          <w:lang w:eastAsia="zh-Hans"/>
        </w:rPr>
        <w:t>，</w:t>
      </w:r>
      <w:r>
        <w:rPr>
          <w:rFonts w:hint="eastAsia"/>
          <w:szCs w:val="22"/>
          <w:lang w:eastAsia="zh-Hans"/>
        </w:rPr>
        <w:t>支撑系统日志审计</w:t>
      </w:r>
      <w:r>
        <w:rPr>
          <w:szCs w:val="22"/>
          <w:lang w:eastAsia="zh-Hans"/>
        </w:rPr>
        <w:t>。</w:t>
      </w:r>
    </w:p>
    <w:p>
      <w:pPr>
        <w:tabs>
          <w:tab w:val="left" w:pos="420"/>
        </w:tabs>
        <w:adjustRightInd/>
        <w:spacing w:line="14" w:lineRule="exact"/>
        <w:outlineLvl w:val="0"/>
        <w:rPr>
          <w:rFonts w:ascii="Times New Roman" w:hAnsi="Times New Roman"/>
          <w:color w:val="FFFFFF"/>
          <w:szCs w:val="24"/>
        </w:rPr>
      </w:pPr>
      <w:bookmarkStart w:id="72" w:name="_Toc17034"/>
      <w:bookmarkEnd w:id="72"/>
      <w:bookmarkStart w:id="73" w:name="_Toc534991636"/>
      <w:bookmarkEnd w:id="73"/>
      <w:bookmarkStart w:id="74" w:name="_Toc61258987"/>
      <w:bookmarkEnd w:id="74"/>
      <w:bookmarkStart w:id="75" w:name="_Toc326338904"/>
      <w:bookmarkStart w:id="76" w:name="_Toc326607147"/>
      <w:bookmarkStart w:id="77" w:name="_Toc326335025"/>
      <w:bookmarkStart w:id="78" w:name="_Toc329182794"/>
      <w:bookmarkStart w:id="79" w:name="_Toc325971386"/>
      <w:bookmarkStart w:id="80" w:name="_Toc326335626"/>
      <w:bookmarkStart w:id="81" w:name="_Toc326518584"/>
      <w:bookmarkStart w:id="82" w:name="_Toc330880803"/>
      <w:bookmarkStart w:id="83" w:name="_Toc326595409"/>
      <w:bookmarkStart w:id="84" w:name="_Toc330880955"/>
      <w:bookmarkStart w:id="85" w:name="_Toc329156105"/>
    </w:p>
    <w:bookmarkEnd w:id="75"/>
    <w:bookmarkEnd w:id="76"/>
    <w:bookmarkEnd w:id="77"/>
    <w:bookmarkEnd w:id="78"/>
    <w:bookmarkEnd w:id="79"/>
    <w:bookmarkEnd w:id="80"/>
    <w:bookmarkEnd w:id="81"/>
    <w:bookmarkEnd w:id="82"/>
    <w:bookmarkEnd w:id="83"/>
    <w:bookmarkEnd w:id="84"/>
    <w:bookmarkEnd w:id="85"/>
    <w:p>
      <w:pPr>
        <w:pStyle w:val="58"/>
        <w:ind w:firstLine="0" w:firstLineChars="0"/>
      </w:pPr>
      <w:r>
        <w:tab/>
      </w:r>
    </w:p>
    <w:p>
      <w:pPr>
        <w:pStyle w:val="58"/>
        <w:ind w:firstLine="420"/>
        <w:jc w:val="center"/>
      </w:pPr>
    </w:p>
    <w:bookmarkEnd w:id="14"/>
    <w:p>
      <w:pPr>
        <w:pStyle w:val="58"/>
        <w:ind w:firstLine="0" w:firstLineChars="0"/>
        <w:jc w:val="center"/>
      </w:pPr>
      <w:bookmarkStart w:id="86" w:name="BookMark8"/>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cstate="print"/>
                    <a:stretch>
                      <a:fillRect/>
                    </a:stretch>
                  </pic:blipFill>
                  <pic:spPr>
                    <a:xfrm>
                      <a:off x="0" y="0"/>
                      <a:ext cx="1485900" cy="317500"/>
                    </a:xfrm>
                    <a:prstGeom prst="rect">
                      <a:avLst/>
                    </a:prstGeom>
                  </pic:spPr>
                </pic:pic>
              </a:graphicData>
            </a:graphic>
          </wp:inline>
        </w:drawing>
      </w:r>
      <w:bookmarkEnd w:id="86"/>
    </w:p>
    <w:sectPr>
      <w:headerReference r:id="rId19" w:type="default"/>
      <w:footerReference r:id="rId21" w:type="default"/>
      <w:headerReference r:id="rId20" w:type="even"/>
      <w:footerReference r:id="rId22"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bookmarkStart w:id="87" w:name="_GoBack"/>
    <w:bookmarkEnd w:id="8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701"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27DDF3C"/>
    <w:multiLevelType w:val="singleLevel"/>
    <w:tmpl w:val="627DDF3C"/>
    <w:lvl w:ilvl="0" w:tentative="0">
      <w:start w:val="1"/>
      <w:numFmt w:val="bullet"/>
      <w:lvlText w:val="—"/>
      <w:lvlJc w:val="left"/>
      <w:pPr>
        <w:ind w:left="420" w:hanging="420"/>
      </w:pPr>
      <w:rPr>
        <w:rFonts w:hint="default" w:ascii="Arial" w:hAnsi="Arial" w:cs="Arial"/>
      </w:r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yYWU4Mzk2Njc4MDE4MGM0YTRhYmM5Yzc2YTZhMTYifQ=="/>
  </w:docVars>
  <w:rsids>
    <w:rsidRoot w:val="00735E54"/>
    <w:rsid w:val="0000040A"/>
    <w:rsid w:val="00000A94"/>
    <w:rsid w:val="00001972"/>
    <w:rsid w:val="00001D9A"/>
    <w:rsid w:val="000057B3"/>
    <w:rsid w:val="00007B3A"/>
    <w:rsid w:val="000107E0"/>
    <w:rsid w:val="00011FDE"/>
    <w:rsid w:val="00012FFD"/>
    <w:rsid w:val="00014162"/>
    <w:rsid w:val="00014340"/>
    <w:rsid w:val="00015606"/>
    <w:rsid w:val="00016A9C"/>
    <w:rsid w:val="00020326"/>
    <w:rsid w:val="00020FC2"/>
    <w:rsid w:val="00022184"/>
    <w:rsid w:val="00022762"/>
    <w:rsid w:val="000238E0"/>
    <w:rsid w:val="000249DB"/>
    <w:rsid w:val="0002595E"/>
    <w:rsid w:val="0002668E"/>
    <w:rsid w:val="000303C3"/>
    <w:rsid w:val="000331D3"/>
    <w:rsid w:val="00034615"/>
    <w:rsid w:val="000346A5"/>
    <w:rsid w:val="000359C3"/>
    <w:rsid w:val="00035A7D"/>
    <w:rsid w:val="000365ED"/>
    <w:rsid w:val="00037412"/>
    <w:rsid w:val="0004249A"/>
    <w:rsid w:val="00043282"/>
    <w:rsid w:val="00044286"/>
    <w:rsid w:val="00044DDC"/>
    <w:rsid w:val="00046F8A"/>
    <w:rsid w:val="00047F28"/>
    <w:rsid w:val="000503AA"/>
    <w:rsid w:val="000506A1"/>
    <w:rsid w:val="000515DD"/>
    <w:rsid w:val="0005265A"/>
    <w:rsid w:val="000539DD"/>
    <w:rsid w:val="00053BD3"/>
    <w:rsid w:val="000556ED"/>
    <w:rsid w:val="00055939"/>
    <w:rsid w:val="00055FE2"/>
    <w:rsid w:val="0005616F"/>
    <w:rsid w:val="00060C2E"/>
    <w:rsid w:val="00061033"/>
    <w:rsid w:val="00061221"/>
    <w:rsid w:val="000619E9"/>
    <w:rsid w:val="000622D4"/>
    <w:rsid w:val="0006357D"/>
    <w:rsid w:val="00065B3B"/>
    <w:rsid w:val="00067F1E"/>
    <w:rsid w:val="00071CC0"/>
    <w:rsid w:val="00071CFC"/>
    <w:rsid w:val="00073C8C"/>
    <w:rsid w:val="00077B64"/>
    <w:rsid w:val="00080A1C"/>
    <w:rsid w:val="00082317"/>
    <w:rsid w:val="00083D2C"/>
    <w:rsid w:val="0008473E"/>
    <w:rsid w:val="00085F13"/>
    <w:rsid w:val="00086AA1"/>
    <w:rsid w:val="0008727B"/>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0BC"/>
    <w:rsid w:val="000B3CDA"/>
    <w:rsid w:val="000B6A0B"/>
    <w:rsid w:val="000C0F6C"/>
    <w:rsid w:val="000C11DB"/>
    <w:rsid w:val="000C1492"/>
    <w:rsid w:val="000C2FBD"/>
    <w:rsid w:val="000C4B41"/>
    <w:rsid w:val="000C57D6"/>
    <w:rsid w:val="000C6362"/>
    <w:rsid w:val="000C7666"/>
    <w:rsid w:val="000D0A9C"/>
    <w:rsid w:val="000D0E93"/>
    <w:rsid w:val="000D1795"/>
    <w:rsid w:val="000D329A"/>
    <w:rsid w:val="000D4B9C"/>
    <w:rsid w:val="000D4EB6"/>
    <w:rsid w:val="000D5701"/>
    <w:rsid w:val="000D622A"/>
    <w:rsid w:val="000D753B"/>
    <w:rsid w:val="000D7EE6"/>
    <w:rsid w:val="000E4C9E"/>
    <w:rsid w:val="000E6FD7"/>
    <w:rsid w:val="000F06E1"/>
    <w:rsid w:val="000F0E3C"/>
    <w:rsid w:val="000F19D5"/>
    <w:rsid w:val="000F4050"/>
    <w:rsid w:val="000F4AEA"/>
    <w:rsid w:val="000F67E9"/>
    <w:rsid w:val="000F7FE6"/>
    <w:rsid w:val="0010062D"/>
    <w:rsid w:val="00104926"/>
    <w:rsid w:val="00111EE8"/>
    <w:rsid w:val="00113B1E"/>
    <w:rsid w:val="0011402D"/>
    <w:rsid w:val="0011711C"/>
    <w:rsid w:val="00124E4F"/>
    <w:rsid w:val="00124F68"/>
    <w:rsid w:val="001260B7"/>
    <w:rsid w:val="001265CB"/>
    <w:rsid w:val="001321C6"/>
    <w:rsid w:val="001325C4"/>
    <w:rsid w:val="00132FE5"/>
    <w:rsid w:val="00133010"/>
    <w:rsid w:val="001338EE"/>
    <w:rsid w:val="00133AAE"/>
    <w:rsid w:val="00135323"/>
    <w:rsid w:val="001356C4"/>
    <w:rsid w:val="00137565"/>
    <w:rsid w:val="00137F61"/>
    <w:rsid w:val="00141114"/>
    <w:rsid w:val="001419E8"/>
    <w:rsid w:val="00142969"/>
    <w:rsid w:val="001446C2"/>
    <w:rsid w:val="001457E7"/>
    <w:rsid w:val="00145D9D"/>
    <w:rsid w:val="00146388"/>
    <w:rsid w:val="001465A2"/>
    <w:rsid w:val="001529E5"/>
    <w:rsid w:val="00152FB3"/>
    <w:rsid w:val="00153C7E"/>
    <w:rsid w:val="001552E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D6E"/>
    <w:rsid w:val="0017340B"/>
    <w:rsid w:val="00173FB1"/>
    <w:rsid w:val="00176DFD"/>
    <w:rsid w:val="00183C8A"/>
    <w:rsid w:val="001852C9"/>
    <w:rsid w:val="00187A0B"/>
    <w:rsid w:val="00190087"/>
    <w:rsid w:val="001913C4"/>
    <w:rsid w:val="0019348F"/>
    <w:rsid w:val="00193A07"/>
    <w:rsid w:val="00194C95"/>
    <w:rsid w:val="00195C34"/>
    <w:rsid w:val="00196EF5"/>
    <w:rsid w:val="001A1A53"/>
    <w:rsid w:val="001A234A"/>
    <w:rsid w:val="001A4CF3"/>
    <w:rsid w:val="001A6696"/>
    <w:rsid w:val="001B068C"/>
    <w:rsid w:val="001B06E8"/>
    <w:rsid w:val="001B71D0"/>
    <w:rsid w:val="001B71EE"/>
    <w:rsid w:val="001C04A8"/>
    <w:rsid w:val="001C0F5B"/>
    <w:rsid w:val="001C2C03"/>
    <w:rsid w:val="001C42F7"/>
    <w:rsid w:val="001C49E5"/>
    <w:rsid w:val="001C680C"/>
    <w:rsid w:val="001C7FEA"/>
    <w:rsid w:val="001D0499"/>
    <w:rsid w:val="001D0BBE"/>
    <w:rsid w:val="001D0ED4"/>
    <w:rsid w:val="001D1552"/>
    <w:rsid w:val="001D212F"/>
    <w:rsid w:val="001D29D7"/>
    <w:rsid w:val="001D2DE7"/>
    <w:rsid w:val="001D411C"/>
    <w:rsid w:val="001E1B6A"/>
    <w:rsid w:val="001E2484"/>
    <w:rsid w:val="001E3CC4"/>
    <w:rsid w:val="001E4882"/>
    <w:rsid w:val="001E73AB"/>
    <w:rsid w:val="001F092D"/>
    <w:rsid w:val="001F143A"/>
    <w:rsid w:val="001F1605"/>
    <w:rsid w:val="001F1666"/>
    <w:rsid w:val="001F1A33"/>
    <w:rsid w:val="001F2508"/>
    <w:rsid w:val="001F4816"/>
    <w:rsid w:val="001F48F4"/>
    <w:rsid w:val="001F69B4"/>
    <w:rsid w:val="001F77C7"/>
    <w:rsid w:val="00200183"/>
    <w:rsid w:val="00200333"/>
    <w:rsid w:val="0020107D"/>
    <w:rsid w:val="00202AA4"/>
    <w:rsid w:val="002031F7"/>
    <w:rsid w:val="002040E6"/>
    <w:rsid w:val="0020527B"/>
    <w:rsid w:val="00205F2C"/>
    <w:rsid w:val="00210B15"/>
    <w:rsid w:val="002142EA"/>
    <w:rsid w:val="00215ADD"/>
    <w:rsid w:val="002170DF"/>
    <w:rsid w:val="002204BB"/>
    <w:rsid w:val="00221B79"/>
    <w:rsid w:val="00221C6B"/>
    <w:rsid w:val="002253A1"/>
    <w:rsid w:val="00225CF8"/>
    <w:rsid w:val="0022794E"/>
    <w:rsid w:val="00231A26"/>
    <w:rsid w:val="0023239E"/>
    <w:rsid w:val="00233D64"/>
    <w:rsid w:val="0023482A"/>
    <w:rsid w:val="00234D62"/>
    <w:rsid w:val="002359CB"/>
    <w:rsid w:val="00243540"/>
    <w:rsid w:val="0024497B"/>
    <w:rsid w:val="0024515B"/>
    <w:rsid w:val="00246021"/>
    <w:rsid w:val="0024666E"/>
    <w:rsid w:val="00247474"/>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20C"/>
    <w:rsid w:val="0028137E"/>
    <w:rsid w:val="00281BB8"/>
    <w:rsid w:val="00281E9E"/>
    <w:rsid w:val="00282405"/>
    <w:rsid w:val="00285170"/>
    <w:rsid w:val="00285361"/>
    <w:rsid w:val="00287367"/>
    <w:rsid w:val="00292D60"/>
    <w:rsid w:val="00293B30"/>
    <w:rsid w:val="00294C38"/>
    <w:rsid w:val="00294D34"/>
    <w:rsid w:val="00294E3B"/>
    <w:rsid w:val="00295457"/>
    <w:rsid w:val="00296193"/>
    <w:rsid w:val="0029633E"/>
    <w:rsid w:val="00296C66"/>
    <w:rsid w:val="00296EBE"/>
    <w:rsid w:val="002974E3"/>
    <w:rsid w:val="002A028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3AE"/>
    <w:rsid w:val="002D06C1"/>
    <w:rsid w:val="002D09BF"/>
    <w:rsid w:val="002D42B5"/>
    <w:rsid w:val="002D4F1A"/>
    <w:rsid w:val="002D6EC6"/>
    <w:rsid w:val="002D79AC"/>
    <w:rsid w:val="002E039D"/>
    <w:rsid w:val="002E1683"/>
    <w:rsid w:val="002E2575"/>
    <w:rsid w:val="002E4D5A"/>
    <w:rsid w:val="002E5727"/>
    <w:rsid w:val="002E6326"/>
    <w:rsid w:val="002E641F"/>
    <w:rsid w:val="002F30E0"/>
    <w:rsid w:val="002F35E4"/>
    <w:rsid w:val="002F3730"/>
    <w:rsid w:val="002F38E1"/>
    <w:rsid w:val="002F6E55"/>
    <w:rsid w:val="002F743A"/>
    <w:rsid w:val="002F79C7"/>
    <w:rsid w:val="002F7AF6"/>
    <w:rsid w:val="00300E63"/>
    <w:rsid w:val="003029F0"/>
    <w:rsid w:val="00302F5F"/>
    <w:rsid w:val="0030441D"/>
    <w:rsid w:val="00306063"/>
    <w:rsid w:val="00307F23"/>
    <w:rsid w:val="003123E6"/>
    <w:rsid w:val="00313B85"/>
    <w:rsid w:val="003151AF"/>
    <w:rsid w:val="00317988"/>
    <w:rsid w:val="003221B4"/>
    <w:rsid w:val="0032258D"/>
    <w:rsid w:val="00322E62"/>
    <w:rsid w:val="00324D13"/>
    <w:rsid w:val="00324EDD"/>
    <w:rsid w:val="003318A3"/>
    <w:rsid w:val="003331E4"/>
    <w:rsid w:val="00336C64"/>
    <w:rsid w:val="00337162"/>
    <w:rsid w:val="00337E84"/>
    <w:rsid w:val="0034194F"/>
    <w:rsid w:val="00344605"/>
    <w:rsid w:val="003465E7"/>
    <w:rsid w:val="003474AA"/>
    <w:rsid w:val="00350D1D"/>
    <w:rsid w:val="00352C83"/>
    <w:rsid w:val="00352F1A"/>
    <w:rsid w:val="00360D9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A54A5"/>
    <w:rsid w:val="003B09AD"/>
    <w:rsid w:val="003B1F18"/>
    <w:rsid w:val="003B5BF0"/>
    <w:rsid w:val="003B60BF"/>
    <w:rsid w:val="003B6BE3"/>
    <w:rsid w:val="003C010C"/>
    <w:rsid w:val="003C0A6C"/>
    <w:rsid w:val="003C14F8"/>
    <w:rsid w:val="003C5A43"/>
    <w:rsid w:val="003D0519"/>
    <w:rsid w:val="003D0FF6"/>
    <w:rsid w:val="003D262C"/>
    <w:rsid w:val="003D3111"/>
    <w:rsid w:val="003D3FC0"/>
    <w:rsid w:val="003D6D61"/>
    <w:rsid w:val="003E091D"/>
    <w:rsid w:val="003E1C53"/>
    <w:rsid w:val="003E2155"/>
    <w:rsid w:val="003E2A69"/>
    <w:rsid w:val="003E2D49"/>
    <w:rsid w:val="003E2FD4"/>
    <w:rsid w:val="003E486B"/>
    <w:rsid w:val="003E49F6"/>
    <w:rsid w:val="003E660F"/>
    <w:rsid w:val="003F0841"/>
    <w:rsid w:val="003F20DD"/>
    <w:rsid w:val="003F23D3"/>
    <w:rsid w:val="003F3F08"/>
    <w:rsid w:val="003F49F1"/>
    <w:rsid w:val="003F6272"/>
    <w:rsid w:val="003F6D0B"/>
    <w:rsid w:val="00400E72"/>
    <w:rsid w:val="00401400"/>
    <w:rsid w:val="00404869"/>
    <w:rsid w:val="00405884"/>
    <w:rsid w:val="00407D39"/>
    <w:rsid w:val="004131A7"/>
    <w:rsid w:val="0041477A"/>
    <w:rsid w:val="004167A3"/>
    <w:rsid w:val="00421712"/>
    <w:rsid w:val="00432DAA"/>
    <w:rsid w:val="00434305"/>
    <w:rsid w:val="00435DF7"/>
    <w:rsid w:val="0044083F"/>
    <w:rsid w:val="00441AE7"/>
    <w:rsid w:val="00445574"/>
    <w:rsid w:val="00446273"/>
    <w:rsid w:val="004467FB"/>
    <w:rsid w:val="00447346"/>
    <w:rsid w:val="00450BF3"/>
    <w:rsid w:val="00452D6B"/>
    <w:rsid w:val="00454484"/>
    <w:rsid w:val="0045517B"/>
    <w:rsid w:val="004627F0"/>
    <w:rsid w:val="00463B77"/>
    <w:rsid w:val="00463C7B"/>
    <w:rsid w:val="004644A6"/>
    <w:rsid w:val="004644C4"/>
    <w:rsid w:val="004659BD"/>
    <w:rsid w:val="00470775"/>
    <w:rsid w:val="004724B6"/>
    <w:rsid w:val="00473C0B"/>
    <w:rsid w:val="004746B1"/>
    <w:rsid w:val="0047583F"/>
    <w:rsid w:val="00475DE8"/>
    <w:rsid w:val="00481C44"/>
    <w:rsid w:val="00484936"/>
    <w:rsid w:val="00485C89"/>
    <w:rsid w:val="00486BE3"/>
    <w:rsid w:val="004905E4"/>
    <w:rsid w:val="00490A89"/>
    <w:rsid w:val="00490AB4"/>
    <w:rsid w:val="00492F02"/>
    <w:rsid w:val="004939AE"/>
    <w:rsid w:val="00494523"/>
    <w:rsid w:val="00496327"/>
    <w:rsid w:val="00497606"/>
    <w:rsid w:val="004A12DF"/>
    <w:rsid w:val="004A1BA8"/>
    <w:rsid w:val="004A276A"/>
    <w:rsid w:val="004A4B57"/>
    <w:rsid w:val="004A63FA"/>
    <w:rsid w:val="004A6A3D"/>
    <w:rsid w:val="004B0272"/>
    <w:rsid w:val="004B2701"/>
    <w:rsid w:val="004B2E1B"/>
    <w:rsid w:val="004B3AA8"/>
    <w:rsid w:val="004B3E93"/>
    <w:rsid w:val="004C1FBC"/>
    <w:rsid w:val="004C25A2"/>
    <w:rsid w:val="004C3591"/>
    <w:rsid w:val="004C3F1D"/>
    <w:rsid w:val="004C458D"/>
    <w:rsid w:val="004C7556"/>
    <w:rsid w:val="004C7E8B"/>
    <w:rsid w:val="004C7E9D"/>
    <w:rsid w:val="004C7F67"/>
    <w:rsid w:val="004D076D"/>
    <w:rsid w:val="004D0EF1"/>
    <w:rsid w:val="004D2253"/>
    <w:rsid w:val="004D4406"/>
    <w:rsid w:val="004D7C42"/>
    <w:rsid w:val="004E0465"/>
    <w:rsid w:val="004E0C87"/>
    <w:rsid w:val="004E127B"/>
    <w:rsid w:val="004E1C0A"/>
    <w:rsid w:val="004E30C5"/>
    <w:rsid w:val="004E39B7"/>
    <w:rsid w:val="004E3BA0"/>
    <w:rsid w:val="004E4AA5"/>
    <w:rsid w:val="004E4AEE"/>
    <w:rsid w:val="004E59E3"/>
    <w:rsid w:val="004E67C0"/>
    <w:rsid w:val="004F391A"/>
    <w:rsid w:val="004F3CFB"/>
    <w:rsid w:val="004F5EFD"/>
    <w:rsid w:val="004F6456"/>
    <w:rsid w:val="004F696E"/>
    <w:rsid w:val="004F6C71"/>
    <w:rsid w:val="00501139"/>
    <w:rsid w:val="0050363E"/>
    <w:rsid w:val="005039BC"/>
    <w:rsid w:val="005043BB"/>
    <w:rsid w:val="00504A3D"/>
    <w:rsid w:val="00505767"/>
    <w:rsid w:val="0050681E"/>
    <w:rsid w:val="005073F0"/>
    <w:rsid w:val="00510A7B"/>
    <w:rsid w:val="00512F6E"/>
    <w:rsid w:val="00513038"/>
    <w:rsid w:val="00514174"/>
    <w:rsid w:val="00516088"/>
    <w:rsid w:val="00516B0B"/>
    <w:rsid w:val="005220EC"/>
    <w:rsid w:val="00523F95"/>
    <w:rsid w:val="00524D65"/>
    <w:rsid w:val="00525B16"/>
    <w:rsid w:val="00530512"/>
    <w:rsid w:val="00533D04"/>
    <w:rsid w:val="00534804"/>
    <w:rsid w:val="00534BDF"/>
    <w:rsid w:val="005354EA"/>
    <w:rsid w:val="0053585F"/>
    <w:rsid w:val="00535EC4"/>
    <w:rsid w:val="00535ED9"/>
    <w:rsid w:val="0053692B"/>
    <w:rsid w:val="00541853"/>
    <w:rsid w:val="0054397D"/>
    <w:rsid w:val="00543BDA"/>
    <w:rsid w:val="005441CC"/>
    <w:rsid w:val="005479DA"/>
    <w:rsid w:val="00547BCC"/>
    <w:rsid w:val="0055013B"/>
    <w:rsid w:val="00551F6F"/>
    <w:rsid w:val="00553BDE"/>
    <w:rsid w:val="00555044"/>
    <w:rsid w:val="00561475"/>
    <w:rsid w:val="00562308"/>
    <w:rsid w:val="0056487B"/>
    <w:rsid w:val="00564FB9"/>
    <w:rsid w:val="00571AE8"/>
    <w:rsid w:val="00573D9E"/>
    <w:rsid w:val="005801E3"/>
    <w:rsid w:val="00581802"/>
    <w:rsid w:val="005836A8"/>
    <w:rsid w:val="0058409C"/>
    <w:rsid w:val="00584262"/>
    <w:rsid w:val="00584C09"/>
    <w:rsid w:val="00586630"/>
    <w:rsid w:val="00587ADD"/>
    <w:rsid w:val="00593A49"/>
    <w:rsid w:val="005959ED"/>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C5C"/>
    <w:rsid w:val="005D4171"/>
    <w:rsid w:val="005D6A95"/>
    <w:rsid w:val="005D6B2C"/>
    <w:rsid w:val="005D6D9C"/>
    <w:rsid w:val="005E2335"/>
    <w:rsid w:val="005E34CA"/>
    <w:rsid w:val="005E3C18"/>
    <w:rsid w:val="005E3D0A"/>
    <w:rsid w:val="005E4250"/>
    <w:rsid w:val="005E6812"/>
    <w:rsid w:val="005E7881"/>
    <w:rsid w:val="005E78E0"/>
    <w:rsid w:val="005F0D9C"/>
    <w:rsid w:val="005F284E"/>
    <w:rsid w:val="006015CE"/>
    <w:rsid w:val="0060453D"/>
    <w:rsid w:val="00604784"/>
    <w:rsid w:val="00606419"/>
    <w:rsid w:val="00607D29"/>
    <w:rsid w:val="00612952"/>
    <w:rsid w:val="00614CC1"/>
    <w:rsid w:val="00615A9D"/>
    <w:rsid w:val="00617387"/>
    <w:rsid w:val="006205D6"/>
    <w:rsid w:val="00621080"/>
    <w:rsid w:val="006252D8"/>
    <w:rsid w:val="006259BC"/>
    <w:rsid w:val="0062636B"/>
    <w:rsid w:val="00632182"/>
    <w:rsid w:val="00632AE0"/>
    <w:rsid w:val="00633C17"/>
    <w:rsid w:val="00634D9E"/>
    <w:rsid w:val="00636E3E"/>
    <w:rsid w:val="0063760F"/>
    <w:rsid w:val="006379F7"/>
    <w:rsid w:val="00637E4D"/>
    <w:rsid w:val="00640620"/>
    <w:rsid w:val="00641A1F"/>
    <w:rsid w:val="00645904"/>
    <w:rsid w:val="00651ACB"/>
    <w:rsid w:val="00651C47"/>
    <w:rsid w:val="00652AB2"/>
    <w:rsid w:val="00653FED"/>
    <w:rsid w:val="00654EC0"/>
    <w:rsid w:val="0065525B"/>
    <w:rsid w:val="00655D4F"/>
    <w:rsid w:val="00656D29"/>
    <w:rsid w:val="00661B9E"/>
    <w:rsid w:val="006628EB"/>
    <w:rsid w:val="006640E5"/>
    <w:rsid w:val="006646F1"/>
    <w:rsid w:val="00664929"/>
    <w:rsid w:val="00664F62"/>
    <w:rsid w:val="006655E1"/>
    <w:rsid w:val="00672060"/>
    <w:rsid w:val="00672BFD"/>
    <w:rsid w:val="006770F4"/>
    <w:rsid w:val="00677A84"/>
    <w:rsid w:val="0068026D"/>
    <w:rsid w:val="00680A27"/>
    <w:rsid w:val="006816A4"/>
    <w:rsid w:val="006819B8"/>
    <w:rsid w:val="006838BE"/>
    <w:rsid w:val="006840A6"/>
    <w:rsid w:val="006850CD"/>
    <w:rsid w:val="00685AAB"/>
    <w:rsid w:val="0069698D"/>
    <w:rsid w:val="006A07AA"/>
    <w:rsid w:val="006A25E5"/>
    <w:rsid w:val="006A2B46"/>
    <w:rsid w:val="006A336D"/>
    <w:rsid w:val="006A37B9"/>
    <w:rsid w:val="006B2672"/>
    <w:rsid w:val="006B3251"/>
    <w:rsid w:val="006B54BF"/>
    <w:rsid w:val="006B5F44"/>
    <w:rsid w:val="006B5F90"/>
    <w:rsid w:val="006B62E4"/>
    <w:rsid w:val="006B6AE0"/>
    <w:rsid w:val="006C1BBA"/>
    <w:rsid w:val="006C2079"/>
    <w:rsid w:val="006C29B9"/>
    <w:rsid w:val="006C5A62"/>
    <w:rsid w:val="006C5D68"/>
    <w:rsid w:val="006C6976"/>
    <w:rsid w:val="006C6DD0"/>
    <w:rsid w:val="006D04EA"/>
    <w:rsid w:val="006D16C4"/>
    <w:rsid w:val="006D3E96"/>
    <w:rsid w:val="006D4515"/>
    <w:rsid w:val="006D4BB1"/>
    <w:rsid w:val="006D6593"/>
    <w:rsid w:val="006E7148"/>
    <w:rsid w:val="006E7FA3"/>
    <w:rsid w:val="006F03A8"/>
    <w:rsid w:val="006F2ACA"/>
    <w:rsid w:val="006F2ADC"/>
    <w:rsid w:val="006F2BFE"/>
    <w:rsid w:val="006F31E9"/>
    <w:rsid w:val="006F6284"/>
    <w:rsid w:val="007002C5"/>
    <w:rsid w:val="00701594"/>
    <w:rsid w:val="00704387"/>
    <w:rsid w:val="0070757A"/>
    <w:rsid w:val="00707669"/>
    <w:rsid w:val="0071171C"/>
    <w:rsid w:val="00711CBA"/>
    <w:rsid w:val="00711FB5"/>
    <w:rsid w:val="00712A01"/>
    <w:rsid w:val="00714F58"/>
    <w:rsid w:val="00722FBF"/>
    <w:rsid w:val="00722FC2"/>
    <w:rsid w:val="00724E1B"/>
    <w:rsid w:val="00725949"/>
    <w:rsid w:val="00725BA0"/>
    <w:rsid w:val="00727FA2"/>
    <w:rsid w:val="007322D9"/>
    <w:rsid w:val="00732BC0"/>
    <w:rsid w:val="00735E54"/>
    <w:rsid w:val="0073720F"/>
    <w:rsid w:val="00737796"/>
    <w:rsid w:val="0074165C"/>
    <w:rsid w:val="00742C35"/>
    <w:rsid w:val="007432CA"/>
    <w:rsid w:val="007439EB"/>
    <w:rsid w:val="00743CB4"/>
    <w:rsid w:val="00743F0A"/>
    <w:rsid w:val="007444E8"/>
    <w:rsid w:val="00744E78"/>
    <w:rsid w:val="0074548E"/>
    <w:rsid w:val="00745773"/>
    <w:rsid w:val="00746800"/>
    <w:rsid w:val="007478AF"/>
    <w:rsid w:val="00750107"/>
    <w:rsid w:val="007501A8"/>
    <w:rsid w:val="00750D61"/>
    <w:rsid w:val="00750EE1"/>
    <w:rsid w:val="00752B4D"/>
    <w:rsid w:val="00755402"/>
    <w:rsid w:val="00756B26"/>
    <w:rsid w:val="00756EDF"/>
    <w:rsid w:val="00757CBE"/>
    <w:rsid w:val="007600E3"/>
    <w:rsid w:val="00764737"/>
    <w:rsid w:val="00765C43"/>
    <w:rsid w:val="00765EFB"/>
    <w:rsid w:val="00767124"/>
    <w:rsid w:val="007671CA"/>
    <w:rsid w:val="00767C61"/>
    <w:rsid w:val="0077008A"/>
    <w:rsid w:val="007709BA"/>
    <w:rsid w:val="007715EC"/>
    <w:rsid w:val="00773C1F"/>
    <w:rsid w:val="00774DA4"/>
    <w:rsid w:val="00776599"/>
    <w:rsid w:val="007772D1"/>
    <w:rsid w:val="0078114B"/>
    <w:rsid w:val="00781DD2"/>
    <w:rsid w:val="00783281"/>
    <w:rsid w:val="00783ECF"/>
    <w:rsid w:val="0078413A"/>
    <w:rsid w:val="0079595A"/>
    <w:rsid w:val="007959E8"/>
    <w:rsid w:val="00795E9C"/>
    <w:rsid w:val="007A0521"/>
    <w:rsid w:val="007A2E12"/>
    <w:rsid w:val="007A3475"/>
    <w:rsid w:val="007A41C8"/>
    <w:rsid w:val="007A54CE"/>
    <w:rsid w:val="007A6FD9"/>
    <w:rsid w:val="007A7FFA"/>
    <w:rsid w:val="007B04EB"/>
    <w:rsid w:val="007B0D4F"/>
    <w:rsid w:val="007B2EE4"/>
    <w:rsid w:val="007B5A3D"/>
    <w:rsid w:val="007B5B95"/>
    <w:rsid w:val="007B6032"/>
    <w:rsid w:val="007B68EA"/>
    <w:rsid w:val="007B7453"/>
    <w:rsid w:val="007C2D89"/>
    <w:rsid w:val="007C4593"/>
    <w:rsid w:val="007C5309"/>
    <w:rsid w:val="007C6069"/>
    <w:rsid w:val="007C7959"/>
    <w:rsid w:val="007D06C4"/>
    <w:rsid w:val="007D1352"/>
    <w:rsid w:val="007D2508"/>
    <w:rsid w:val="007D346A"/>
    <w:rsid w:val="007D6518"/>
    <w:rsid w:val="007D76BD"/>
    <w:rsid w:val="007E0BF1"/>
    <w:rsid w:val="007E3EB3"/>
    <w:rsid w:val="007F0ED8"/>
    <w:rsid w:val="007F0F63"/>
    <w:rsid w:val="007F5A7F"/>
    <w:rsid w:val="007F75CE"/>
    <w:rsid w:val="008013A4"/>
    <w:rsid w:val="008027CE"/>
    <w:rsid w:val="00802F42"/>
    <w:rsid w:val="00804383"/>
    <w:rsid w:val="00804BB7"/>
    <w:rsid w:val="00804D41"/>
    <w:rsid w:val="00810257"/>
    <w:rsid w:val="008104F5"/>
    <w:rsid w:val="00811072"/>
    <w:rsid w:val="00811369"/>
    <w:rsid w:val="00815165"/>
    <w:rsid w:val="00815419"/>
    <w:rsid w:val="00815543"/>
    <w:rsid w:val="008163C8"/>
    <w:rsid w:val="008164A1"/>
    <w:rsid w:val="00817325"/>
    <w:rsid w:val="008209E6"/>
    <w:rsid w:val="0082269D"/>
    <w:rsid w:val="00823303"/>
    <w:rsid w:val="008233B2"/>
    <w:rsid w:val="00823A9F"/>
    <w:rsid w:val="00823C85"/>
    <w:rsid w:val="00825138"/>
    <w:rsid w:val="008269DD"/>
    <w:rsid w:val="00830621"/>
    <w:rsid w:val="00832FB4"/>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B05"/>
    <w:rsid w:val="008A57E6"/>
    <w:rsid w:val="008A6F81"/>
    <w:rsid w:val="008A769A"/>
    <w:rsid w:val="008B0343"/>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6D0"/>
    <w:rsid w:val="008E6A84"/>
    <w:rsid w:val="008F0CDC"/>
    <w:rsid w:val="008F17A3"/>
    <w:rsid w:val="008F1ED3"/>
    <w:rsid w:val="008F4C29"/>
    <w:rsid w:val="008F70BD"/>
    <w:rsid w:val="008F788F"/>
    <w:rsid w:val="008F7EA2"/>
    <w:rsid w:val="00900438"/>
    <w:rsid w:val="00902722"/>
    <w:rsid w:val="009027BC"/>
    <w:rsid w:val="009062E6"/>
    <w:rsid w:val="00911BE5"/>
    <w:rsid w:val="0091206B"/>
    <w:rsid w:val="00913CA9"/>
    <w:rsid w:val="009145AE"/>
    <w:rsid w:val="009146CE"/>
    <w:rsid w:val="00914CA7"/>
    <w:rsid w:val="00915C3E"/>
    <w:rsid w:val="009161A8"/>
    <w:rsid w:val="00916A7F"/>
    <w:rsid w:val="009245AE"/>
    <w:rsid w:val="009245F5"/>
    <w:rsid w:val="009249EC"/>
    <w:rsid w:val="009273B3"/>
    <w:rsid w:val="009305B5"/>
    <w:rsid w:val="009378DD"/>
    <w:rsid w:val="009429D5"/>
    <w:rsid w:val="00942BF1"/>
    <w:rsid w:val="00945180"/>
    <w:rsid w:val="00945428"/>
    <w:rsid w:val="0094607B"/>
    <w:rsid w:val="00946938"/>
    <w:rsid w:val="0095122F"/>
    <w:rsid w:val="00953604"/>
    <w:rsid w:val="0095496B"/>
    <w:rsid w:val="00955589"/>
    <w:rsid w:val="00956251"/>
    <w:rsid w:val="00956F38"/>
    <w:rsid w:val="00960F1E"/>
    <w:rsid w:val="009610DC"/>
    <w:rsid w:val="00961490"/>
    <w:rsid w:val="0096381A"/>
    <w:rsid w:val="00963C55"/>
    <w:rsid w:val="00965E04"/>
    <w:rsid w:val="009674AD"/>
    <w:rsid w:val="00970CDC"/>
    <w:rsid w:val="00972C1B"/>
    <w:rsid w:val="00975727"/>
    <w:rsid w:val="00976A96"/>
    <w:rsid w:val="00977010"/>
    <w:rsid w:val="00977844"/>
    <w:rsid w:val="009778B3"/>
    <w:rsid w:val="00977D02"/>
    <w:rsid w:val="00977FF9"/>
    <w:rsid w:val="009809BB"/>
    <w:rsid w:val="0098364B"/>
    <w:rsid w:val="009846B7"/>
    <w:rsid w:val="00985324"/>
    <w:rsid w:val="00985DBE"/>
    <w:rsid w:val="009911AF"/>
    <w:rsid w:val="00991875"/>
    <w:rsid w:val="00991F92"/>
    <w:rsid w:val="00992985"/>
    <w:rsid w:val="00993889"/>
    <w:rsid w:val="0099551B"/>
    <w:rsid w:val="00996BD2"/>
    <w:rsid w:val="00997BF1"/>
    <w:rsid w:val="009A05F3"/>
    <w:rsid w:val="009A089C"/>
    <w:rsid w:val="009A118E"/>
    <w:rsid w:val="009A21CD"/>
    <w:rsid w:val="009A278C"/>
    <w:rsid w:val="009A2BC2"/>
    <w:rsid w:val="009A368F"/>
    <w:rsid w:val="009A3B88"/>
    <w:rsid w:val="009A42C1"/>
    <w:rsid w:val="009A5429"/>
    <w:rsid w:val="009A72AD"/>
    <w:rsid w:val="009B09E0"/>
    <w:rsid w:val="009B0BC5"/>
    <w:rsid w:val="009B1247"/>
    <w:rsid w:val="009B6029"/>
    <w:rsid w:val="009B6971"/>
    <w:rsid w:val="009C27F1"/>
    <w:rsid w:val="009C2A41"/>
    <w:rsid w:val="009C3152"/>
    <w:rsid w:val="009C3257"/>
    <w:rsid w:val="009C4CFA"/>
    <w:rsid w:val="009C5070"/>
    <w:rsid w:val="009D112C"/>
    <w:rsid w:val="009D1385"/>
    <w:rsid w:val="009D47FA"/>
    <w:rsid w:val="009D4C5B"/>
    <w:rsid w:val="009D50D2"/>
    <w:rsid w:val="009D6BCA"/>
    <w:rsid w:val="009E0279"/>
    <w:rsid w:val="009E0F62"/>
    <w:rsid w:val="009E4A58"/>
    <w:rsid w:val="009E4A78"/>
    <w:rsid w:val="009E5A2D"/>
    <w:rsid w:val="009E5AB2"/>
    <w:rsid w:val="009E6219"/>
    <w:rsid w:val="009F03B3"/>
    <w:rsid w:val="009F7F43"/>
    <w:rsid w:val="00A0096C"/>
    <w:rsid w:val="00A01757"/>
    <w:rsid w:val="00A028C0"/>
    <w:rsid w:val="00A02BAE"/>
    <w:rsid w:val="00A0332F"/>
    <w:rsid w:val="00A0491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BE3"/>
    <w:rsid w:val="00A55BD6"/>
    <w:rsid w:val="00A55D50"/>
    <w:rsid w:val="00A57142"/>
    <w:rsid w:val="00A648CD"/>
    <w:rsid w:val="00A6537A"/>
    <w:rsid w:val="00A67866"/>
    <w:rsid w:val="00A70B07"/>
    <w:rsid w:val="00A723F8"/>
    <w:rsid w:val="00A727A1"/>
    <w:rsid w:val="00A7332D"/>
    <w:rsid w:val="00A77CCB"/>
    <w:rsid w:val="00A8196F"/>
    <w:rsid w:val="00A83D8D"/>
    <w:rsid w:val="00A8446B"/>
    <w:rsid w:val="00A8473F"/>
    <w:rsid w:val="00A84AE2"/>
    <w:rsid w:val="00A85A81"/>
    <w:rsid w:val="00A862D6"/>
    <w:rsid w:val="00A8715E"/>
    <w:rsid w:val="00A9295B"/>
    <w:rsid w:val="00A92D10"/>
    <w:rsid w:val="00A93B09"/>
    <w:rsid w:val="00A952D7"/>
    <w:rsid w:val="00A95938"/>
    <w:rsid w:val="00A963F7"/>
    <w:rsid w:val="00A96AD8"/>
    <w:rsid w:val="00AA052C"/>
    <w:rsid w:val="00AA1E45"/>
    <w:rsid w:val="00AA4286"/>
    <w:rsid w:val="00AA456B"/>
    <w:rsid w:val="00AA57F5"/>
    <w:rsid w:val="00AA672E"/>
    <w:rsid w:val="00AA6EC9"/>
    <w:rsid w:val="00AB6309"/>
    <w:rsid w:val="00AB6C5F"/>
    <w:rsid w:val="00AB7129"/>
    <w:rsid w:val="00AB7512"/>
    <w:rsid w:val="00AC0319"/>
    <w:rsid w:val="00AC27A6"/>
    <w:rsid w:val="00AC30F7"/>
    <w:rsid w:val="00AC3A5A"/>
    <w:rsid w:val="00AC4D95"/>
    <w:rsid w:val="00AC5DF4"/>
    <w:rsid w:val="00AD0AEF"/>
    <w:rsid w:val="00AD11B7"/>
    <w:rsid w:val="00AD1543"/>
    <w:rsid w:val="00AD1A94"/>
    <w:rsid w:val="00AD1C05"/>
    <w:rsid w:val="00AD4126"/>
    <w:rsid w:val="00AD421C"/>
    <w:rsid w:val="00AD44FA"/>
    <w:rsid w:val="00AE070A"/>
    <w:rsid w:val="00AE101C"/>
    <w:rsid w:val="00AE2A69"/>
    <w:rsid w:val="00AE37E5"/>
    <w:rsid w:val="00AE5EB4"/>
    <w:rsid w:val="00AF0C18"/>
    <w:rsid w:val="00AF47C5"/>
    <w:rsid w:val="00AF5398"/>
    <w:rsid w:val="00B04370"/>
    <w:rsid w:val="00B049AF"/>
    <w:rsid w:val="00B052A1"/>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2D5"/>
    <w:rsid w:val="00B42120"/>
    <w:rsid w:val="00B4346D"/>
    <w:rsid w:val="00B440F4"/>
    <w:rsid w:val="00B447A5"/>
    <w:rsid w:val="00B4654C"/>
    <w:rsid w:val="00B47293"/>
    <w:rsid w:val="00B50E50"/>
    <w:rsid w:val="00B5160E"/>
    <w:rsid w:val="00B52120"/>
    <w:rsid w:val="00B5220D"/>
    <w:rsid w:val="00B54ABC"/>
    <w:rsid w:val="00B56FBE"/>
    <w:rsid w:val="00B60ACF"/>
    <w:rsid w:val="00B62B58"/>
    <w:rsid w:val="00B65149"/>
    <w:rsid w:val="00B66567"/>
    <w:rsid w:val="00B66F52"/>
    <w:rsid w:val="00B66FE5"/>
    <w:rsid w:val="00B72880"/>
    <w:rsid w:val="00B758BF"/>
    <w:rsid w:val="00B76444"/>
    <w:rsid w:val="00B77EC8"/>
    <w:rsid w:val="00B81105"/>
    <w:rsid w:val="00B827A6"/>
    <w:rsid w:val="00B831CE"/>
    <w:rsid w:val="00B86677"/>
    <w:rsid w:val="00B87131"/>
    <w:rsid w:val="00B93023"/>
    <w:rsid w:val="00B939B1"/>
    <w:rsid w:val="00B96D40"/>
    <w:rsid w:val="00B97386"/>
    <w:rsid w:val="00B973F0"/>
    <w:rsid w:val="00BA263B"/>
    <w:rsid w:val="00BA42B2"/>
    <w:rsid w:val="00BA58D4"/>
    <w:rsid w:val="00BA5B9E"/>
    <w:rsid w:val="00BA7C9A"/>
    <w:rsid w:val="00BB02C5"/>
    <w:rsid w:val="00BB5F8F"/>
    <w:rsid w:val="00BB657A"/>
    <w:rsid w:val="00BC1A4E"/>
    <w:rsid w:val="00BC1CD2"/>
    <w:rsid w:val="00BC5DC7"/>
    <w:rsid w:val="00BC6B8B"/>
    <w:rsid w:val="00BC73D8"/>
    <w:rsid w:val="00BC7C2E"/>
    <w:rsid w:val="00BC7D89"/>
    <w:rsid w:val="00BD52D7"/>
    <w:rsid w:val="00BD5AD2"/>
    <w:rsid w:val="00BE1FCE"/>
    <w:rsid w:val="00BE22F3"/>
    <w:rsid w:val="00BE5B52"/>
    <w:rsid w:val="00BE7B8D"/>
    <w:rsid w:val="00BF0993"/>
    <w:rsid w:val="00BF10A9"/>
    <w:rsid w:val="00BF1703"/>
    <w:rsid w:val="00BF231C"/>
    <w:rsid w:val="00BF2E9C"/>
    <w:rsid w:val="00BF51E5"/>
    <w:rsid w:val="00BF74A6"/>
    <w:rsid w:val="00BF7984"/>
    <w:rsid w:val="00C013AD"/>
    <w:rsid w:val="00C04904"/>
    <w:rsid w:val="00C056B3"/>
    <w:rsid w:val="00C103E5"/>
    <w:rsid w:val="00C13319"/>
    <w:rsid w:val="00C13EE9"/>
    <w:rsid w:val="00C20288"/>
    <w:rsid w:val="00C21540"/>
    <w:rsid w:val="00C21906"/>
    <w:rsid w:val="00C21BFA"/>
    <w:rsid w:val="00C23B4E"/>
    <w:rsid w:val="00C24C8D"/>
    <w:rsid w:val="00C25FE2"/>
    <w:rsid w:val="00C26B53"/>
    <w:rsid w:val="00C279B2"/>
    <w:rsid w:val="00C33D93"/>
    <w:rsid w:val="00C33E50"/>
    <w:rsid w:val="00C34C20"/>
    <w:rsid w:val="00C35A3E"/>
    <w:rsid w:val="00C42130"/>
    <w:rsid w:val="00C423A4"/>
    <w:rsid w:val="00C423E3"/>
    <w:rsid w:val="00C4487C"/>
    <w:rsid w:val="00C44BF5"/>
    <w:rsid w:val="00C46214"/>
    <w:rsid w:val="00C47162"/>
    <w:rsid w:val="00C521D6"/>
    <w:rsid w:val="00C55232"/>
    <w:rsid w:val="00C553A4"/>
    <w:rsid w:val="00C55A06"/>
    <w:rsid w:val="00C55D03"/>
    <w:rsid w:val="00C601BC"/>
    <w:rsid w:val="00C60CC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6F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A8"/>
    <w:rsid w:val="00CE30EA"/>
    <w:rsid w:val="00CF048A"/>
    <w:rsid w:val="00CF155A"/>
    <w:rsid w:val="00CF2947"/>
    <w:rsid w:val="00CF2E46"/>
    <w:rsid w:val="00CF686F"/>
    <w:rsid w:val="00CF6E60"/>
    <w:rsid w:val="00CF76CB"/>
    <w:rsid w:val="00CF7BCA"/>
    <w:rsid w:val="00D008FD"/>
    <w:rsid w:val="00D01BEF"/>
    <w:rsid w:val="00D0321C"/>
    <w:rsid w:val="00D035EC"/>
    <w:rsid w:val="00D06AB1"/>
    <w:rsid w:val="00D06FC1"/>
    <w:rsid w:val="00D072ED"/>
    <w:rsid w:val="00D07A16"/>
    <w:rsid w:val="00D1067E"/>
    <w:rsid w:val="00D10F50"/>
    <w:rsid w:val="00D11272"/>
    <w:rsid w:val="00D126F5"/>
    <w:rsid w:val="00D1489E"/>
    <w:rsid w:val="00D15FDC"/>
    <w:rsid w:val="00D20737"/>
    <w:rsid w:val="00D21E81"/>
    <w:rsid w:val="00D223DE"/>
    <w:rsid w:val="00D22A82"/>
    <w:rsid w:val="00D25E37"/>
    <w:rsid w:val="00D2661A"/>
    <w:rsid w:val="00D27582"/>
    <w:rsid w:val="00D27EC4"/>
    <w:rsid w:val="00D32719"/>
    <w:rsid w:val="00D33333"/>
    <w:rsid w:val="00D352A2"/>
    <w:rsid w:val="00D4162B"/>
    <w:rsid w:val="00D4514F"/>
    <w:rsid w:val="00D451A1"/>
    <w:rsid w:val="00D451E2"/>
    <w:rsid w:val="00D45E89"/>
    <w:rsid w:val="00D45E8D"/>
    <w:rsid w:val="00D466AE"/>
    <w:rsid w:val="00D4734F"/>
    <w:rsid w:val="00D51BF3"/>
    <w:rsid w:val="00D54B91"/>
    <w:rsid w:val="00D6104D"/>
    <w:rsid w:val="00D61801"/>
    <w:rsid w:val="00D66846"/>
    <w:rsid w:val="00D675FB"/>
    <w:rsid w:val="00D71F25"/>
    <w:rsid w:val="00D72A9C"/>
    <w:rsid w:val="00D7307F"/>
    <w:rsid w:val="00D75C27"/>
    <w:rsid w:val="00D77031"/>
    <w:rsid w:val="00D84941"/>
    <w:rsid w:val="00D84FA1"/>
    <w:rsid w:val="00D851F0"/>
    <w:rsid w:val="00D86DB7"/>
    <w:rsid w:val="00D90721"/>
    <w:rsid w:val="00D91489"/>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D1"/>
    <w:rsid w:val="00DB73F7"/>
    <w:rsid w:val="00DC0321"/>
    <w:rsid w:val="00DC3067"/>
    <w:rsid w:val="00DC370B"/>
    <w:rsid w:val="00DC5B90"/>
    <w:rsid w:val="00DD00FF"/>
    <w:rsid w:val="00DD0619"/>
    <w:rsid w:val="00DD07FB"/>
    <w:rsid w:val="00DD25C6"/>
    <w:rsid w:val="00DD4FE5"/>
    <w:rsid w:val="00DD54B0"/>
    <w:rsid w:val="00DD57EE"/>
    <w:rsid w:val="00DD6BCC"/>
    <w:rsid w:val="00DD7AE9"/>
    <w:rsid w:val="00DE0A4B"/>
    <w:rsid w:val="00DE2410"/>
    <w:rsid w:val="00DE2939"/>
    <w:rsid w:val="00DE44A2"/>
    <w:rsid w:val="00DE6E81"/>
    <w:rsid w:val="00DE703F"/>
    <w:rsid w:val="00DE7595"/>
    <w:rsid w:val="00DF05F2"/>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876"/>
    <w:rsid w:val="00E3137A"/>
    <w:rsid w:val="00E32CCF"/>
    <w:rsid w:val="00E32EA0"/>
    <w:rsid w:val="00E34A98"/>
    <w:rsid w:val="00E35D1E"/>
    <w:rsid w:val="00E364F9"/>
    <w:rsid w:val="00E365FA"/>
    <w:rsid w:val="00E36789"/>
    <w:rsid w:val="00E44A83"/>
    <w:rsid w:val="00E502C1"/>
    <w:rsid w:val="00E502DD"/>
    <w:rsid w:val="00E50D3A"/>
    <w:rsid w:val="00E5135D"/>
    <w:rsid w:val="00E51387"/>
    <w:rsid w:val="00E51E68"/>
    <w:rsid w:val="00E52EFD"/>
    <w:rsid w:val="00E5408A"/>
    <w:rsid w:val="00E56800"/>
    <w:rsid w:val="00E60C63"/>
    <w:rsid w:val="00E62FF9"/>
    <w:rsid w:val="00E635D6"/>
    <w:rsid w:val="00E639BC"/>
    <w:rsid w:val="00E64BA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0EA4"/>
    <w:rsid w:val="00E9311F"/>
    <w:rsid w:val="00E934D1"/>
    <w:rsid w:val="00E94AF0"/>
    <w:rsid w:val="00E95D13"/>
    <w:rsid w:val="00E95DD3"/>
    <w:rsid w:val="00E969D5"/>
    <w:rsid w:val="00EA58D1"/>
    <w:rsid w:val="00EA5AA4"/>
    <w:rsid w:val="00EA61BC"/>
    <w:rsid w:val="00EA681A"/>
    <w:rsid w:val="00EA69C3"/>
    <w:rsid w:val="00EA735B"/>
    <w:rsid w:val="00EB1E69"/>
    <w:rsid w:val="00EB2086"/>
    <w:rsid w:val="00EB31ED"/>
    <w:rsid w:val="00EB5EDF"/>
    <w:rsid w:val="00EB60FE"/>
    <w:rsid w:val="00EB74DB"/>
    <w:rsid w:val="00EC5359"/>
    <w:rsid w:val="00EC562A"/>
    <w:rsid w:val="00ED05A5"/>
    <w:rsid w:val="00ED067A"/>
    <w:rsid w:val="00ED2B50"/>
    <w:rsid w:val="00ED6D66"/>
    <w:rsid w:val="00EE0350"/>
    <w:rsid w:val="00EE0719"/>
    <w:rsid w:val="00EE0E80"/>
    <w:rsid w:val="00EE613F"/>
    <w:rsid w:val="00EE6AA0"/>
    <w:rsid w:val="00EE7295"/>
    <w:rsid w:val="00EE7869"/>
    <w:rsid w:val="00EF054A"/>
    <w:rsid w:val="00EF3235"/>
    <w:rsid w:val="00EF35DA"/>
    <w:rsid w:val="00EF56D6"/>
    <w:rsid w:val="00EF5A12"/>
    <w:rsid w:val="00EF7E72"/>
    <w:rsid w:val="00F06D37"/>
    <w:rsid w:val="00F07B9D"/>
    <w:rsid w:val="00F11586"/>
    <w:rsid w:val="00F1183B"/>
    <w:rsid w:val="00F11C9F"/>
    <w:rsid w:val="00F12263"/>
    <w:rsid w:val="00F1409D"/>
    <w:rsid w:val="00F14214"/>
    <w:rsid w:val="00F157A9"/>
    <w:rsid w:val="00F16F00"/>
    <w:rsid w:val="00F23AC5"/>
    <w:rsid w:val="00F25BB6"/>
    <w:rsid w:val="00F26B7E"/>
    <w:rsid w:val="00F27A3B"/>
    <w:rsid w:val="00F33817"/>
    <w:rsid w:val="00F378D0"/>
    <w:rsid w:val="00F40778"/>
    <w:rsid w:val="00F420D5"/>
    <w:rsid w:val="00F44ED8"/>
    <w:rsid w:val="00F451EA"/>
    <w:rsid w:val="00F45447"/>
    <w:rsid w:val="00F456C6"/>
    <w:rsid w:val="00F4577B"/>
    <w:rsid w:val="00F46496"/>
    <w:rsid w:val="00F474D0"/>
    <w:rsid w:val="00F50179"/>
    <w:rsid w:val="00F515EE"/>
    <w:rsid w:val="00F56511"/>
    <w:rsid w:val="00F57267"/>
    <w:rsid w:val="00F57D41"/>
    <w:rsid w:val="00F6194E"/>
    <w:rsid w:val="00F61952"/>
    <w:rsid w:val="00F623AC"/>
    <w:rsid w:val="00F6412A"/>
    <w:rsid w:val="00F65893"/>
    <w:rsid w:val="00F66A4A"/>
    <w:rsid w:val="00F71E22"/>
    <w:rsid w:val="00F71E52"/>
    <w:rsid w:val="00F72142"/>
    <w:rsid w:val="00F72AE7"/>
    <w:rsid w:val="00F75240"/>
    <w:rsid w:val="00F833BA"/>
    <w:rsid w:val="00F84FD0"/>
    <w:rsid w:val="00F859A8"/>
    <w:rsid w:val="00F86D87"/>
    <w:rsid w:val="00F9108B"/>
    <w:rsid w:val="00F91349"/>
    <w:rsid w:val="00F93A8A"/>
    <w:rsid w:val="00F95248"/>
    <w:rsid w:val="00F956A9"/>
    <w:rsid w:val="00F963ED"/>
    <w:rsid w:val="00F966CF"/>
    <w:rsid w:val="00F96CAE"/>
    <w:rsid w:val="00F97C99"/>
    <w:rsid w:val="00FA2DB1"/>
    <w:rsid w:val="00FA662D"/>
    <w:rsid w:val="00FA73B1"/>
    <w:rsid w:val="00FB022A"/>
    <w:rsid w:val="00FB0CB9"/>
    <w:rsid w:val="00FB1A6D"/>
    <w:rsid w:val="00FB231D"/>
    <w:rsid w:val="00FB45F1"/>
    <w:rsid w:val="00FB4A72"/>
    <w:rsid w:val="00FB54E8"/>
    <w:rsid w:val="00FB7054"/>
    <w:rsid w:val="00FC16E1"/>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F02"/>
    <w:rsid w:val="00FE7E79"/>
    <w:rsid w:val="00FF1005"/>
    <w:rsid w:val="00FF3E7D"/>
    <w:rsid w:val="00FF5B99"/>
    <w:rsid w:val="00FF730C"/>
    <w:rsid w:val="00FF73F4"/>
    <w:rsid w:val="00FF7CE4"/>
    <w:rsid w:val="00FF7E39"/>
    <w:rsid w:val="561B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Document Map"/>
    <w:basedOn w:val="1"/>
    <w:link w:val="232"/>
    <w:semiHidden/>
    <w:unhideWhenUsed/>
    <w:uiPriority w:val="99"/>
    <w:rPr>
      <w:rFonts w:ascii="宋体"/>
      <w:sz w:val="18"/>
      <w:szCs w:val="18"/>
    </w:rPr>
  </w:style>
  <w:style w:type="paragraph" w:styleId="15">
    <w:name w:val="Body Text"/>
    <w:basedOn w:val="1"/>
    <w:link w:val="88"/>
    <w:uiPriority w:val="0"/>
    <w:pPr>
      <w:spacing w:after="120"/>
    </w:pPr>
  </w:style>
  <w:style w:type="paragraph" w:styleId="16">
    <w:name w:val="toc 5"/>
    <w:basedOn w:val="1"/>
    <w:next w:val="1"/>
    <w:unhideWhenUsed/>
    <w:uiPriority w:val="39"/>
    <w:pPr>
      <w:ind w:left="839"/>
    </w:pPr>
    <w:rPr>
      <w:rFonts w:ascii="宋体"/>
    </w:rPr>
  </w:style>
  <w:style w:type="paragraph" w:styleId="17">
    <w:name w:val="toc 3"/>
    <w:basedOn w:val="1"/>
    <w:next w:val="1"/>
    <w:unhideWhenUsed/>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uiPriority w:val="39"/>
    <w:rPr>
      <w:rFonts w:ascii="宋体"/>
    </w:rPr>
  </w:style>
  <w:style w:type="paragraph" w:styleId="22">
    <w:name w:val="toc 4"/>
    <w:basedOn w:val="1"/>
    <w:next w:val="1"/>
    <w:unhideWhenUsed/>
    <w:uiPriority w:val="39"/>
    <w:pPr>
      <w:tabs>
        <w:tab w:val="right" w:leader="dot" w:pos="9344"/>
      </w:tabs>
      <w:spacing w:line="300" w:lineRule="exact"/>
      <w:ind w:left="629"/>
    </w:pPr>
    <w:rPr>
      <w:rFonts w:ascii="宋体"/>
    </w:rPr>
  </w:style>
  <w:style w:type="paragraph" w:styleId="23">
    <w:name w:val="footnote text"/>
    <w:basedOn w:val="1"/>
    <w:next w:val="1"/>
    <w:link w:val="101"/>
    <w:semiHidden/>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uiPriority w:val="39"/>
    <w:pPr>
      <w:spacing w:line="300" w:lineRule="exact"/>
      <w:ind w:left="1049"/>
    </w:pPr>
    <w:rPr>
      <w:rFonts w:ascii="宋体"/>
    </w:rPr>
  </w:style>
  <w:style w:type="paragraph" w:styleId="25">
    <w:name w:val="table of figures"/>
    <w:basedOn w:val="1"/>
    <w:next w:val="1"/>
    <w:semiHidden/>
    <w:uiPriority w:val="0"/>
    <w:pPr>
      <w:adjustRightInd/>
      <w:spacing w:line="240" w:lineRule="auto"/>
      <w:jc w:val="left"/>
    </w:pPr>
    <w:rPr>
      <w:szCs w:val="24"/>
    </w:rPr>
  </w:style>
  <w:style w:type="paragraph" w:styleId="26">
    <w:name w:val="toc 2"/>
    <w:basedOn w:val="1"/>
    <w:next w:val="1"/>
    <w:unhideWhenUsed/>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vertAlign w:val="baseline"/>
    </w:rPr>
  </w:style>
  <w:style w:type="character" w:styleId="35">
    <w:name w:val="footnote reference"/>
    <w:semiHidden/>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20"/>
    <w:qFormat/>
    <w:uiPriority w:val="99"/>
    <w:rPr>
      <w:rFonts w:ascii="Times New Roman" w:hAnsi="Times New Roman" w:eastAsia="宋体" w:cs="Times New Roman"/>
      <w:sz w:val="18"/>
      <w:szCs w:val="18"/>
    </w:rPr>
  </w:style>
  <w:style w:type="character" w:customStyle="1" w:styleId="46">
    <w:name w:val="页脚 字符"/>
    <w:link w:val="19"/>
    <w:qFormat/>
    <w:uiPriority w:val="99"/>
    <w:rPr>
      <w:rFonts w:ascii="宋体" w:hAnsi="Times New Roman" w:eastAsia="宋体" w:cs="Times New Roman"/>
      <w:sz w:val="18"/>
      <w:szCs w:val="18"/>
    </w:rPr>
  </w:style>
  <w:style w:type="character" w:customStyle="1" w:styleId="47">
    <w:name w:val="批注框文本 字符"/>
    <w:link w:val="18"/>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uiPriority w:val="0"/>
    <w:pPr>
      <w:ind w:left="198"/>
    </w:pPr>
    <w:rPr>
      <w:rFonts w:ascii="宋体" w:hAnsi="Times New Roman" w:eastAsia="宋体" w:cs="Times New Roman"/>
      <w:sz w:val="18"/>
      <w:lang w:val="en-US" w:eastAsia="zh-CN" w:bidi="ar-SA"/>
    </w:rPr>
  </w:style>
  <w:style w:type="paragraph" w:customStyle="1" w:styleId="54">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5">
    <w:name w:val="标准书眉一"/>
    <w:uiPriority w:val="0"/>
    <w:pPr>
      <w:jc w:val="both"/>
    </w:pPr>
    <w:rPr>
      <w:rFonts w:ascii="Times New Roman" w:hAnsi="Times New Roman" w:eastAsia="宋体" w:cs="Times New Roman"/>
      <w:lang w:val="en-US" w:eastAsia="zh-CN" w:bidi="ar-SA"/>
    </w:rPr>
  </w:style>
  <w:style w:type="paragraph" w:customStyle="1" w:styleId="56">
    <w:name w:val="标准文件_ICS"/>
    <w:basedOn w:val="1"/>
    <w:uiPriority w:val="0"/>
    <w:pPr>
      <w:spacing w:line="0" w:lineRule="atLeast"/>
    </w:pPr>
    <w:rPr>
      <w:rFonts w:ascii="黑体" w:hAnsi="宋体" w:eastAsia="黑体"/>
    </w:rPr>
  </w:style>
  <w:style w:type="paragraph" w:customStyle="1" w:styleId="57">
    <w:name w:val="标准文件_标准正文"/>
    <w:basedOn w:val="1"/>
    <w:next w:val="58"/>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uiPriority w:val="0"/>
    <w:pPr>
      <w:adjustRightInd/>
      <w:snapToGrid/>
      <w:ind w:firstLine="0" w:firstLineChars="0"/>
    </w:pPr>
    <w:rPr>
      <w:rFonts w:ascii="宋体" w:hAnsi="宋体"/>
      <w:kern w:val="2"/>
    </w:rPr>
  </w:style>
  <w:style w:type="paragraph" w:customStyle="1" w:styleId="60">
    <w:name w:val="标准文件_标准部门"/>
    <w:basedOn w:val="1"/>
    <w:uiPriority w:val="0"/>
    <w:pPr>
      <w:jc w:val="center"/>
    </w:pPr>
    <w:rPr>
      <w:rFonts w:ascii="黑体" w:eastAsia="黑体"/>
      <w:kern w:val="0"/>
      <w:sz w:val="44"/>
    </w:rPr>
  </w:style>
  <w:style w:type="paragraph" w:customStyle="1" w:styleId="61">
    <w:name w:val="标准文件_标准代替"/>
    <w:basedOn w:val="1"/>
    <w:next w:val="1"/>
    <w:uiPriority w:val="0"/>
    <w:pPr>
      <w:spacing w:line="310" w:lineRule="exact"/>
      <w:jc w:val="right"/>
    </w:pPr>
    <w:rPr>
      <w:rFonts w:ascii="宋体" w:hAnsi="宋体"/>
      <w:kern w:val="0"/>
    </w:rPr>
  </w:style>
  <w:style w:type="paragraph" w:customStyle="1" w:styleId="62">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uiPriority w:val="0"/>
    <w:pPr>
      <w:jc w:val="left"/>
    </w:pPr>
  </w:style>
  <w:style w:type="paragraph" w:customStyle="1" w:styleId="65">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uiPriority w:val="0"/>
    <w:rPr>
      <w:rFonts w:ascii="黑体" w:eastAsia="黑体"/>
      <w:spacing w:val="0"/>
      <w:w w:val="100"/>
      <w:position w:val="3"/>
      <w:sz w:val="28"/>
    </w:rPr>
  </w:style>
  <w:style w:type="paragraph" w:customStyle="1" w:styleId="69">
    <w:name w:val="标准文件_方框数字列项"/>
    <w:basedOn w:val="58"/>
    <w:uiPriority w:val="0"/>
    <w:pPr>
      <w:numPr>
        <w:ilvl w:val="0"/>
        <w:numId w:val="3"/>
      </w:numPr>
      <w:ind w:firstLine="0" w:firstLineChars="0"/>
    </w:pPr>
  </w:style>
  <w:style w:type="paragraph" w:customStyle="1" w:styleId="70">
    <w:name w:val="标准文件_封面标准编号"/>
    <w:basedOn w:val="1"/>
    <w:next w:val="61"/>
    <w:uiPriority w:val="0"/>
    <w:pPr>
      <w:spacing w:line="310" w:lineRule="exact"/>
      <w:jc w:val="right"/>
    </w:pPr>
    <w:rPr>
      <w:rFonts w:ascii="黑体" w:eastAsia="黑体"/>
      <w:kern w:val="0"/>
      <w:sz w:val="28"/>
    </w:rPr>
  </w:style>
  <w:style w:type="paragraph" w:customStyle="1" w:styleId="71">
    <w:name w:val="标准文件_封面标准分类号"/>
    <w:basedOn w:val="1"/>
    <w:uiPriority w:val="0"/>
    <w:rPr>
      <w:rFonts w:ascii="黑体" w:eastAsia="黑体"/>
      <w:b/>
      <w:kern w:val="0"/>
      <w:sz w:val="28"/>
    </w:rPr>
  </w:style>
  <w:style w:type="paragraph" w:customStyle="1" w:styleId="72">
    <w:name w:val="标准文件_封面标准名称"/>
    <w:basedOn w:val="1"/>
    <w:uiPriority w:val="0"/>
    <w:pPr>
      <w:spacing w:line="240" w:lineRule="auto"/>
      <w:jc w:val="center"/>
    </w:pPr>
    <w:rPr>
      <w:rFonts w:ascii="黑体" w:eastAsia="黑体"/>
      <w:kern w:val="0"/>
      <w:sz w:val="52"/>
    </w:rPr>
  </w:style>
  <w:style w:type="paragraph" w:customStyle="1" w:styleId="73">
    <w:name w:val="标准文件_封面标准英文名称"/>
    <w:basedOn w:val="1"/>
    <w:uiPriority w:val="0"/>
    <w:pPr>
      <w:spacing w:line="240" w:lineRule="auto"/>
      <w:jc w:val="center"/>
    </w:pPr>
    <w:rPr>
      <w:rFonts w:ascii="黑体" w:eastAsia="黑体"/>
      <w:b/>
      <w:sz w:val="28"/>
    </w:rPr>
  </w:style>
  <w:style w:type="paragraph" w:customStyle="1" w:styleId="74">
    <w:name w:val="标准文件_封面发布日期"/>
    <w:basedOn w:val="1"/>
    <w:uiPriority w:val="0"/>
    <w:pPr>
      <w:spacing w:line="310" w:lineRule="exact"/>
    </w:pPr>
    <w:rPr>
      <w:rFonts w:ascii="黑体" w:eastAsia="黑体"/>
      <w:kern w:val="0"/>
      <w:sz w:val="28"/>
    </w:rPr>
  </w:style>
  <w:style w:type="paragraph" w:customStyle="1" w:styleId="75">
    <w:name w:val="标准文件_封面密级"/>
    <w:basedOn w:val="1"/>
    <w:uiPriority w:val="0"/>
    <w:rPr>
      <w:rFonts w:eastAsia="黑体"/>
      <w:sz w:val="32"/>
    </w:rPr>
  </w:style>
  <w:style w:type="paragraph" w:customStyle="1" w:styleId="76">
    <w:name w:val="标准文件_封面实施日期"/>
    <w:basedOn w:val="1"/>
    <w:uiPriority w:val="0"/>
    <w:pPr>
      <w:spacing w:line="310" w:lineRule="exact"/>
      <w:jc w:val="right"/>
    </w:pPr>
    <w:rPr>
      <w:rFonts w:ascii="黑体" w:eastAsia="黑体"/>
      <w:sz w:val="28"/>
    </w:rPr>
  </w:style>
  <w:style w:type="paragraph" w:customStyle="1" w:styleId="77">
    <w:name w:val="标准文件_封面抬头"/>
    <w:basedOn w:val="58"/>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5"/>
    <w:uiPriority w:val="0"/>
    <w:rPr>
      <w:rFonts w:ascii="Times New Roman" w:hAnsi="Times New Roman" w:eastAsia="宋体" w:cs="Times New Roman"/>
      <w:szCs w:val="20"/>
    </w:rPr>
  </w:style>
  <w:style w:type="paragraph" w:customStyle="1" w:styleId="89">
    <w:name w:val="标准文件_附录章标题"/>
    <w:next w:val="58"/>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uiPriority w:val="0"/>
    <w:pPr>
      <w:ind w:left="488" w:leftChars="200" w:hanging="289" w:hangingChars="290"/>
    </w:pPr>
  </w:style>
  <w:style w:type="paragraph" w:customStyle="1" w:styleId="91">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uiPriority w:val="0"/>
    <w:pPr>
      <w:spacing w:line="460" w:lineRule="exact"/>
    </w:pPr>
  </w:style>
  <w:style w:type="paragraph" w:customStyle="1" w:styleId="93">
    <w:name w:val="标准文件_目录标题"/>
    <w:basedOn w:val="1"/>
    <w:uiPriority w:val="0"/>
    <w:pPr>
      <w:spacing w:afterLines="150" w:line="240" w:lineRule="auto"/>
      <w:jc w:val="center"/>
    </w:pPr>
    <w:rPr>
      <w:rFonts w:ascii="黑体" w:eastAsia="黑体"/>
      <w:sz w:val="32"/>
    </w:rPr>
  </w:style>
  <w:style w:type="paragraph" w:customStyle="1" w:styleId="94">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uiPriority w:val="0"/>
    <w:pPr>
      <w:adjustRightInd/>
      <w:spacing w:line="240" w:lineRule="auto"/>
      <w:ind w:firstLine="200" w:firstLineChars="200"/>
    </w:pPr>
    <w:rPr>
      <w:sz w:val="18"/>
      <w:szCs w:val="24"/>
    </w:rPr>
  </w:style>
  <w:style w:type="paragraph" w:customStyle="1" w:styleId="99">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uiPriority w:val="0"/>
    <w:rPr>
      <w:rFonts w:ascii="宋体" w:hAnsi="Times New Roman" w:eastAsia="宋体" w:cs="Times New Roman"/>
      <w:sz w:val="18"/>
      <w:szCs w:val="18"/>
    </w:rPr>
  </w:style>
  <w:style w:type="paragraph" w:customStyle="1" w:styleId="102">
    <w:name w:val="标准文件_条文脚注"/>
    <w:basedOn w:val="23"/>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uiPriority w:val="0"/>
    <w:pPr>
      <w:numPr>
        <w:ilvl w:val="0"/>
        <w:numId w:val="12"/>
      </w:numPr>
      <w:spacing w:line="240" w:lineRule="auto"/>
      <w:jc w:val="left"/>
    </w:pPr>
    <w:rPr>
      <w:rFonts w:ascii="宋体" w:hAnsi="宋体"/>
      <w:sz w:val="18"/>
    </w:rPr>
  </w:style>
  <w:style w:type="character" w:customStyle="1" w:styleId="104">
    <w:name w:val="标准文件_图表脚注内容"/>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uiPriority w:val="0"/>
    <w:pPr>
      <w:spacing w:line="440" w:lineRule="exact"/>
      <w:jc w:val="center"/>
    </w:pPr>
    <w:rPr>
      <w:sz w:val="28"/>
    </w:rPr>
  </w:style>
  <w:style w:type="paragraph" w:customStyle="1" w:styleId="109">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uiPriority w:val="0"/>
    <w:pPr>
      <w:numPr>
        <w:ilvl w:val="3"/>
        <w:numId w:val="20"/>
      </w:numPr>
      <w:adjustRightInd/>
      <w:spacing w:line="240" w:lineRule="auto"/>
    </w:pPr>
    <w:rPr>
      <w:rFonts w:ascii="宋体" w:hAnsi="宋体"/>
      <w:szCs w:val="24"/>
    </w:rPr>
  </w:style>
  <w:style w:type="paragraph" w:customStyle="1" w:styleId="121">
    <w:name w:val="发布部门"/>
    <w:next w:val="58"/>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0"/>
    <w:pPr>
      <w:adjustRightInd/>
      <w:spacing w:line="240" w:lineRule="auto"/>
      <w:jc w:val="left"/>
    </w:pPr>
    <w:rPr>
      <w:bCs/>
      <w:iCs/>
    </w:rPr>
  </w:style>
  <w:style w:type="paragraph" w:customStyle="1" w:styleId="145">
    <w:name w:val="目录 31"/>
    <w:basedOn w:val="1"/>
    <w:next w:val="1"/>
    <w:semiHidden/>
    <w:uiPriority w:val="0"/>
    <w:pPr>
      <w:spacing w:line="240" w:lineRule="auto"/>
    </w:pPr>
    <w:rPr>
      <w:rFonts w:ascii="宋体" w:hAnsi="宋体"/>
      <w:iCs/>
    </w:rPr>
  </w:style>
  <w:style w:type="paragraph" w:customStyle="1" w:styleId="146">
    <w:name w:val="目录 41"/>
    <w:basedOn w:val="1"/>
    <w:next w:val="1"/>
    <w:semiHidden/>
    <w:uiPriority w:val="0"/>
    <w:pPr>
      <w:adjustRightInd/>
      <w:spacing w:line="240" w:lineRule="auto"/>
      <w:jc w:val="left"/>
    </w:pPr>
  </w:style>
  <w:style w:type="paragraph" w:customStyle="1" w:styleId="147">
    <w:name w:val="目录 51"/>
    <w:basedOn w:val="1"/>
    <w:next w:val="1"/>
    <w:semiHidden/>
    <w:uiPriority w:val="0"/>
    <w:pPr>
      <w:spacing w:line="240" w:lineRule="auto"/>
    </w:pPr>
    <w:rPr>
      <w:rFonts w:ascii="宋体" w:hAnsi="宋体"/>
    </w:rPr>
  </w:style>
  <w:style w:type="paragraph" w:customStyle="1" w:styleId="148">
    <w:name w:val="目录 61"/>
    <w:basedOn w:val="1"/>
    <w:next w:val="1"/>
    <w:semiHidden/>
    <w:uiPriority w:val="0"/>
    <w:pPr>
      <w:adjustRightInd/>
      <w:spacing w:line="240" w:lineRule="auto"/>
      <w:jc w:val="left"/>
    </w:pPr>
  </w:style>
  <w:style w:type="paragraph" w:customStyle="1" w:styleId="149">
    <w:name w:val="目录 71"/>
    <w:basedOn w:val="148"/>
    <w:semiHidden/>
    <w:uiPriority w:val="0"/>
    <w:pPr>
      <w:ind w:left="1260"/>
    </w:pPr>
  </w:style>
  <w:style w:type="paragraph" w:customStyle="1" w:styleId="150">
    <w:name w:val="目录 81"/>
    <w:basedOn w:val="149"/>
    <w:semiHidden/>
    <w:uiPriority w:val="0"/>
    <w:pPr>
      <w:ind w:left="1470"/>
    </w:pPr>
  </w:style>
  <w:style w:type="paragraph" w:customStyle="1" w:styleId="151">
    <w:name w:val="目录 91"/>
    <w:basedOn w:val="150"/>
    <w:semiHidden/>
    <w:uiPriority w:val="0"/>
    <w:pPr>
      <w:ind w:left="1680"/>
    </w:pPr>
  </w:style>
  <w:style w:type="paragraph" w:customStyle="1" w:styleId="15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uiPriority w:val="0"/>
    <w:pPr>
      <w:numPr>
        <w:ilvl w:val="4"/>
        <w:numId w:val="20"/>
      </w:numPr>
      <w:adjustRightInd/>
      <w:spacing w:line="240" w:lineRule="auto"/>
    </w:pPr>
    <w:rPr>
      <w:rFonts w:ascii="宋体" w:hAnsi="宋体"/>
      <w:szCs w:val="24"/>
    </w:rPr>
  </w:style>
  <w:style w:type="paragraph" w:customStyle="1" w:styleId="156">
    <w:name w:val="实施日期"/>
    <w:basedOn w:val="122"/>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character" w:customStyle="1" w:styleId="232">
    <w:name w:val="文档结构图 字符"/>
    <w:basedOn w:val="30"/>
    <w:link w:val="14"/>
    <w:semiHidden/>
    <w:uiPriority w:val="99"/>
    <w:rPr>
      <w:rFonts w:ascii="宋体"/>
      <w:kern w:val="2"/>
      <w:sz w:val="18"/>
      <w:szCs w:val="18"/>
    </w:rPr>
  </w:style>
  <w:style w:type="character" w:customStyle="1" w:styleId="233">
    <w:name w:val="段 Char"/>
    <w:link w:val="234"/>
    <w:locked/>
    <w:uiPriority w:val="0"/>
    <w:rPr>
      <w:rFonts w:ascii="宋体" w:hAnsi="宋体"/>
      <w:sz w:val="21"/>
    </w:rPr>
  </w:style>
  <w:style w:type="paragraph" w:customStyle="1" w:styleId="234">
    <w:name w:val="段"/>
    <w:link w:val="233"/>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5">
    <w:name w:val="一级条标题"/>
    <w:next w:val="1"/>
    <w:uiPriority w:val="0"/>
    <w:pPr>
      <w:numPr>
        <w:ilvl w:val="1"/>
        <w:numId w:val="32"/>
      </w:numPr>
      <w:spacing w:beforeLines="50"/>
      <w:ind w:left="852"/>
      <w:outlineLvl w:val="2"/>
    </w:pPr>
    <w:rPr>
      <w:rFonts w:ascii="黑体" w:hAnsi="Times New Roman" w:eastAsia="黑体" w:cs="Times New Roman"/>
      <w:sz w:val="21"/>
      <w:szCs w:val="21"/>
      <w:lang w:val="en-US" w:eastAsia="zh-CN" w:bidi="ar-SA"/>
    </w:rPr>
  </w:style>
  <w:style w:type="paragraph" w:customStyle="1" w:styleId="236">
    <w:name w:val="章标题"/>
    <w:next w:val="1"/>
    <w:uiPriority w:val="0"/>
    <w:pPr>
      <w:numPr>
        <w:ilvl w:val="0"/>
        <w:numId w:val="32"/>
      </w:numPr>
      <w:spacing w:before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1"/>
    <w:uiPriority w:val="0"/>
    <w:pPr>
      <w:numPr>
        <w:ilvl w:val="2"/>
      </w:numPr>
      <w:spacing w:afterLines="50"/>
      <w:outlineLvl w:val="3"/>
    </w:pPr>
  </w:style>
  <w:style w:type="paragraph" w:customStyle="1" w:styleId="238">
    <w:name w:val="四级条标题"/>
    <w:basedOn w:val="1"/>
    <w:next w:val="1"/>
    <w:uiPriority w:val="0"/>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9">
    <w:name w:val="五级条标题"/>
    <w:basedOn w:val="238"/>
    <w:next w:val="1"/>
    <w:uiPriority w:val="0"/>
    <w:pPr>
      <w:numPr>
        <w:ilvl w:val="5"/>
      </w:numPr>
      <w:outlineLvl w:val="6"/>
    </w:pPr>
  </w:style>
  <w:style w:type="paragraph" w:styleId="2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jpe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6234;&#33021;&#26631;&#20934;&#21270;&#24037;&#20855;\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5D0AF4DD634E3CA741384D6A2FB88B"/>
        <w:style w:val=""/>
        <w:category>
          <w:name w:val="常规"/>
          <w:gallery w:val="placeholder"/>
        </w:category>
        <w:types>
          <w:type w:val="bbPlcHdr"/>
        </w:types>
        <w:behaviors>
          <w:behavior w:val="content"/>
        </w:behaviors>
        <w:description w:val=""/>
        <w:guid w:val="{5AE06653-3EA5-4C62-90BA-C5807A070A96}"/>
      </w:docPartPr>
      <w:docPartBody>
        <w:p>
          <w:pPr>
            <w:pStyle w:val="5"/>
          </w:pPr>
          <w:r>
            <w:rPr>
              <w:rStyle w:val="4"/>
              <w:rFonts w:hint="eastAsia"/>
            </w:rPr>
            <w:t>单击或点击此处输入文字。</w:t>
          </w:r>
        </w:p>
      </w:docPartBody>
    </w:docPart>
    <w:docPart>
      <w:docPartPr>
        <w:name w:val="87D869D6BB0D4578A52C2CAA0A120BB9"/>
        <w:style w:val=""/>
        <w:category>
          <w:name w:val="常规"/>
          <w:gallery w:val="placeholder"/>
        </w:category>
        <w:types>
          <w:type w:val="bbPlcHdr"/>
        </w:types>
        <w:behaviors>
          <w:behavior w:val="content"/>
        </w:behaviors>
        <w:description w:val=""/>
        <w:guid w:val="{BC958640-D667-4904-8141-C7FED30F1BEF}"/>
      </w:docPartPr>
      <w:docPartBody>
        <w:p>
          <w:pPr>
            <w:pStyle w:val="6"/>
          </w:pPr>
          <w:r>
            <w:rPr>
              <w:rStyle w:val="4"/>
              <w:rFonts w:hint="eastAsia"/>
            </w:rPr>
            <w:t>选择一项。</w:t>
          </w:r>
        </w:p>
      </w:docPartBody>
    </w:docPart>
    <w:docPart>
      <w:docPartPr>
        <w:name w:val="9BCDCFE7743243B5A540BF1D7031A83E"/>
        <w:style w:val=""/>
        <w:category>
          <w:name w:val="常规"/>
          <w:gallery w:val="placeholder"/>
        </w:category>
        <w:types>
          <w:type w:val="bbPlcHdr"/>
        </w:types>
        <w:behaviors>
          <w:behavior w:val="content"/>
        </w:behaviors>
        <w:description w:val=""/>
        <w:guid w:val="{F927748D-F493-4593-8C45-884C433D5D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4D8"/>
    <w:rsid w:val="00007697"/>
    <w:rsid w:val="0002029E"/>
    <w:rsid w:val="0004046A"/>
    <w:rsid w:val="00066B1D"/>
    <w:rsid w:val="002420C5"/>
    <w:rsid w:val="002D527D"/>
    <w:rsid w:val="00361620"/>
    <w:rsid w:val="003E36F8"/>
    <w:rsid w:val="00427A10"/>
    <w:rsid w:val="004624B5"/>
    <w:rsid w:val="00496CB0"/>
    <w:rsid w:val="005D7875"/>
    <w:rsid w:val="006742A9"/>
    <w:rsid w:val="006C4D0A"/>
    <w:rsid w:val="008140AA"/>
    <w:rsid w:val="00851929"/>
    <w:rsid w:val="00885DC2"/>
    <w:rsid w:val="008F445B"/>
    <w:rsid w:val="009B73DB"/>
    <w:rsid w:val="009E74D8"/>
    <w:rsid w:val="00BC07F4"/>
    <w:rsid w:val="00CA4082"/>
    <w:rsid w:val="00E15496"/>
    <w:rsid w:val="00FB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35D0AF4DD634E3CA741384D6A2FB8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D869D6BB0D4578A52C2CAA0A120B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CDCFE7743243B5A540BF1D7031A83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85C25-6876-4489-A4FF-0B54BD8BCD3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3621</Words>
  <Characters>4231</Characters>
  <Lines>48</Lines>
  <Paragraphs>13</Paragraphs>
  <TotalTime>2085</TotalTime>
  <ScaleCrop>false</ScaleCrop>
  <LinksUpToDate>false</LinksUpToDate>
  <CharactersWithSpaces>4386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2021-04-20T09:48:00Z</dcterms:created>
  <dc:creator>Administrator</dc:creator>
  <dc:description>&lt;config cover="true" show_menu="true" version="1.0.0" doctype="SDKXY"&gt;_x000d_
&lt;/config&gt;</dc:description>
  <cp:lastModifiedBy>水娃1373527812</cp:lastModifiedBy>
  <cp:lastPrinted>2021-04-20T09:48:00Z</cp:lastPrinted>
  <dcterms:modified xsi:type="dcterms:W3CDTF">2022-11-19T09:36:53Z</dcterms:modified>
  <dc:title>团体标准</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2052-11.1.0.12763</vt:lpwstr>
  </property>
  <property fmtid="{D5CDD505-2E9C-101B-9397-08002B2CF9AE}" pid="16" name="ICV">
    <vt:lpwstr>FF2A8207F65F448485F4C30DD1466644</vt:lpwstr>
  </property>
</Properties>
</file>