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35.110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CCSCIOT</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L79</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无锡“感知中国”物联网商会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物联网 VOCs治理设施同步运行率监测系统技术要求"/>
            </w:textInput>
          </w:ffData>
        </w:fldChar>
      </w:r>
      <w:bookmarkStart w:id="5" w:name="CSTD_NAME"/>
      <w:r>
        <w:instrText xml:space="preserve"> FORMTEXT </w:instrText>
      </w:r>
      <w:r>
        <w:fldChar w:fldCharType="separate"/>
      </w:r>
      <w:r>
        <w:t>物联网 VOCs治理设施同步运行率监测系统技术要求</w:t>
      </w:r>
      <w:r>
        <w:fldChar w:fldCharType="end"/>
      </w:r>
      <w:bookmarkEnd w:id="5"/>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s for synchronous operation rate monitoring system of Internet of Things VOCs governance facilities"/>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Technical requirements for synchronous operation rate monitoring system of Internet of Things VOCs governance facilities</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fldChar w:fldCharType="separate"/>
      </w:r>
      <w:r>
        <w:rPr>
          <w:rFonts w:hint="eastAsia" w:hAnsi="黑体"/>
          <w:w w:val="100"/>
          <w:sz w:val="28"/>
        </w:rPr>
        <w:t>无锡“感知中国”物联网商会</w:t>
      </w:r>
      <w:r>
        <w:rPr>
          <w:rFonts w:hAnsi="黑体"/>
          <w:w w:val="100"/>
          <w:sz w:val="28"/>
        </w:rPr>
        <w:fldChar w:fldCharType="end"/>
      </w:r>
      <w:bookmarkEnd w:id="1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3"/>
        <w:spacing w:after="360"/>
      </w:pPr>
      <w:bookmarkStart w:id="11" w:name="BookMark1"/>
      <w:r>
        <w:rPr>
          <w:spacing w:val="320"/>
        </w:rPr>
        <w:t>目</w:t>
      </w:r>
      <w: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"_Toc115277247" </w:instrText>
      </w:r>
      <w:r>
        <w:fldChar w:fldCharType="separate"/>
      </w:r>
      <w:r>
        <w:rPr>
          <w:rStyle w:val="34"/>
          <w:spacing w:val="320"/>
        </w:rPr>
        <w:t>前</w:t>
      </w:r>
      <w:r>
        <w:rPr>
          <w:rStyle w:val="34"/>
        </w:rPr>
        <w:t>言</w:t>
      </w:r>
      <w:r>
        <w:tab/>
      </w:r>
      <w:r>
        <w:fldChar w:fldCharType="begin"/>
      </w:r>
      <w:r>
        <w:instrText xml:space="preserve"> PAGEREF _Toc115277247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"_Toc115277248" </w:instrText>
      </w:r>
      <w:r>
        <w:fldChar w:fldCharType="separate"/>
      </w:r>
      <w:r>
        <w:rPr>
          <w:rStyle w:val="34"/>
        </w:rPr>
        <w:t>1 范围</w:t>
      </w:r>
      <w:r>
        <w:tab/>
      </w:r>
      <w:r>
        <w:fldChar w:fldCharType="begin"/>
      </w:r>
      <w:r>
        <w:instrText xml:space="preserve"> PAGEREF _Toc115277248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"_Toc115277249" </w:instrText>
      </w:r>
      <w:r>
        <w:fldChar w:fldCharType="separate"/>
      </w:r>
      <w:r>
        <w:rPr>
          <w:rStyle w:val="34"/>
        </w:rPr>
        <w:t>2 规范性引用文件</w:t>
      </w:r>
      <w:r>
        <w:tab/>
      </w:r>
      <w:r>
        <w:fldChar w:fldCharType="begin"/>
      </w:r>
      <w:r>
        <w:instrText xml:space="preserve"> PAGEREF _Toc115277249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"_Toc115277250" </w:instrText>
      </w:r>
      <w:r>
        <w:fldChar w:fldCharType="separate"/>
      </w:r>
      <w:r>
        <w:rPr>
          <w:rStyle w:val="34"/>
        </w:rPr>
        <w:t>3 术语和定义</w:t>
      </w:r>
      <w:r>
        <w:tab/>
      </w:r>
      <w:r>
        <w:fldChar w:fldCharType="begin"/>
      </w:r>
      <w:r>
        <w:instrText xml:space="preserve"> PAGEREF _Toc115277250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"_Toc115277251" </w:instrText>
      </w:r>
      <w:r>
        <w:fldChar w:fldCharType="separate"/>
      </w:r>
      <w:r>
        <w:rPr>
          <w:rStyle w:val="34"/>
        </w:rPr>
        <w:t>4 缩略语</w:t>
      </w:r>
      <w:r>
        <w:tab/>
      </w:r>
      <w:r>
        <w:fldChar w:fldCharType="begin"/>
      </w:r>
      <w:r>
        <w:instrText xml:space="preserve"> PAGEREF _Toc115277251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"_Toc115277252" </w:instrText>
      </w:r>
      <w:r>
        <w:fldChar w:fldCharType="separate"/>
      </w:r>
      <w:r>
        <w:rPr>
          <w:rStyle w:val="34"/>
        </w:rPr>
        <w:t>5 概述</w:t>
      </w:r>
      <w:r>
        <w:tab/>
      </w:r>
      <w:r>
        <w:fldChar w:fldCharType="begin"/>
      </w:r>
      <w:r>
        <w:instrText xml:space="preserve"> PAGEREF _Toc115277252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"_Toc115277253" </w:instrText>
      </w:r>
      <w:r>
        <w:fldChar w:fldCharType="separate"/>
      </w:r>
      <w:r>
        <w:rPr>
          <w:rStyle w:val="34"/>
        </w:rPr>
        <w:t>6 系统结构</w:t>
      </w:r>
      <w:r>
        <w:tab/>
      </w:r>
      <w:r>
        <w:fldChar w:fldCharType="begin"/>
      </w:r>
      <w:r>
        <w:instrText xml:space="preserve"> PAGEREF _Toc115277253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"_Toc115277254" </w:instrText>
      </w:r>
      <w:r>
        <w:fldChar w:fldCharType="separate"/>
      </w:r>
      <w:r>
        <w:rPr>
          <w:rStyle w:val="34"/>
        </w:rPr>
        <w:t>7 系统规范</w:t>
      </w:r>
      <w:r>
        <w:tab/>
      </w:r>
      <w:r>
        <w:fldChar w:fldCharType="begin"/>
      </w:r>
      <w:r>
        <w:instrText xml:space="preserve"> PAGEREF _Toc115277254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"_Toc115277255" </w:instrText>
      </w:r>
      <w:r>
        <w:fldChar w:fldCharType="separate"/>
      </w:r>
      <w:r>
        <w:rPr>
          <w:rStyle w:val="34"/>
        </w:rPr>
        <w:t>7.1 系统用户</w:t>
      </w:r>
      <w:r>
        <w:tab/>
      </w:r>
      <w:r>
        <w:fldChar w:fldCharType="begin"/>
      </w:r>
      <w:r>
        <w:instrText xml:space="preserve"> PAGEREF _Toc115277255 \h </w:instrText>
      </w:r>
      <w:r>
        <w:fldChar w:fldCharType="separate"/>
      </w:r>
      <w:r>
        <w:t>2</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"_Toc115277256" </w:instrText>
      </w:r>
      <w:r>
        <w:fldChar w:fldCharType="separate"/>
      </w:r>
      <w:r>
        <w:rPr>
          <w:rStyle w:val="34"/>
          <w:lang w:eastAsia="zh-Hans"/>
        </w:rPr>
        <w:t>7.1.1 环保单位</w:t>
      </w:r>
      <w:r>
        <w:tab/>
      </w:r>
      <w:r>
        <w:fldChar w:fldCharType="begin"/>
      </w:r>
      <w:r>
        <w:instrText xml:space="preserve"> PAGEREF _Toc115277256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"_Toc115277257" </w:instrText>
      </w:r>
      <w:r>
        <w:fldChar w:fldCharType="separate"/>
      </w:r>
      <w:r>
        <w:rPr>
          <w:rStyle w:val="34"/>
          <w:lang w:eastAsia="zh-Hans"/>
        </w:rPr>
        <w:t>7.1.2 产治污单位</w:t>
      </w:r>
      <w:r>
        <w:tab/>
      </w:r>
      <w:r>
        <w:fldChar w:fldCharType="begin"/>
      </w:r>
      <w:r>
        <w:instrText xml:space="preserve"> PAGEREF _Toc115277257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"_Toc115277258" </w:instrText>
      </w:r>
      <w:r>
        <w:fldChar w:fldCharType="separate"/>
      </w:r>
      <w:r>
        <w:rPr>
          <w:rStyle w:val="34"/>
        </w:rPr>
        <w:t>7.2 环境感知设备</w:t>
      </w:r>
      <w:r>
        <w:tab/>
      </w:r>
      <w:r>
        <w:fldChar w:fldCharType="begin"/>
      </w:r>
      <w:r>
        <w:instrText xml:space="preserve"> PAGEREF _Toc115277258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"_Toc115277259" </w:instrText>
      </w:r>
      <w:r>
        <w:fldChar w:fldCharType="separate"/>
      </w:r>
      <w:r>
        <w:rPr>
          <w:rStyle w:val="34"/>
          <w:lang w:eastAsia="zh-Hans"/>
        </w:rPr>
        <w:t>7.2.1</w:t>
      </w:r>
      <w:r>
        <w:rPr>
          <w:rStyle w:val="34"/>
        </w:rPr>
        <w:t xml:space="preserve"> 感知卡</w:t>
      </w:r>
      <w:r>
        <w:tab/>
      </w:r>
      <w:r>
        <w:fldChar w:fldCharType="begin"/>
      </w:r>
      <w:r>
        <w:instrText xml:space="preserve"> PAGEREF _Toc115277259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"_Toc115277260" </w:instrText>
      </w:r>
      <w:r>
        <w:fldChar w:fldCharType="separate"/>
      </w:r>
      <w:r>
        <w:rPr>
          <w:rStyle w:val="34"/>
          <w:lang w:eastAsia="zh-Hans"/>
        </w:rPr>
        <w:t>7.2.2 多功能电力监测仪表及信号传输仪器</w:t>
      </w:r>
      <w:r>
        <w:tab/>
      </w:r>
      <w:r>
        <w:fldChar w:fldCharType="begin"/>
      </w:r>
      <w:r>
        <w:instrText xml:space="preserve"> PAGEREF _Toc115277260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"_Toc115277261" </w:instrText>
      </w:r>
      <w:r>
        <w:fldChar w:fldCharType="separate"/>
      </w:r>
      <w:r>
        <w:rPr>
          <w:rStyle w:val="34"/>
        </w:rPr>
        <w:t>7.3 系统功能</w:t>
      </w:r>
      <w:r>
        <w:tab/>
      </w:r>
      <w:r>
        <w:fldChar w:fldCharType="begin"/>
      </w:r>
      <w:r>
        <w:instrText xml:space="preserve"> PAGEREF _Toc115277261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"_Toc115277262" </w:instrText>
      </w:r>
      <w:r>
        <w:fldChar w:fldCharType="separate"/>
      </w:r>
      <w:r>
        <w:rPr>
          <w:rStyle w:val="34"/>
          <w:lang w:eastAsia="zh-Hans"/>
        </w:rPr>
        <w:t>7.3.1</w:t>
      </w:r>
      <w:r>
        <w:rPr>
          <w:rStyle w:val="34"/>
        </w:rPr>
        <w:t xml:space="preserve"> 基本信息管理</w:t>
      </w:r>
      <w:r>
        <w:tab/>
      </w:r>
      <w:r>
        <w:fldChar w:fldCharType="begin"/>
      </w:r>
      <w:r>
        <w:instrText xml:space="preserve"> PAGEREF _Toc115277262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"_Toc115277263" </w:instrText>
      </w:r>
      <w:r>
        <w:fldChar w:fldCharType="separate"/>
      </w:r>
      <w:r>
        <w:rPr>
          <w:rStyle w:val="34"/>
          <w:lang w:eastAsia="zh-Hans"/>
        </w:rPr>
        <w:t>7.3.2 数据监测管理</w:t>
      </w:r>
      <w:r>
        <w:tab/>
      </w:r>
      <w:r>
        <w:fldChar w:fldCharType="begin"/>
      </w:r>
      <w:r>
        <w:instrText xml:space="preserve"> PAGEREF _Toc115277263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"_Toc115277264" </w:instrText>
      </w:r>
      <w:r>
        <w:fldChar w:fldCharType="separate"/>
      </w:r>
      <w:r>
        <w:rPr>
          <w:rStyle w:val="34"/>
          <w:lang w:eastAsia="zh-Hans"/>
        </w:rPr>
        <w:t>7.3.3 告警管理</w:t>
      </w:r>
      <w:r>
        <w:tab/>
      </w:r>
      <w:r>
        <w:fldChar w:fldCharType="begin"/>
      </w:r>
      <w:r>
        <w:instrText xml:space="preserve"> PAGEREF _Toc115277264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"_Toc115277265" </w:instrText>
      </w:r>
      <w:r>
        <w:fldChar w:fldCharType="separate"/>
      </w:r>
      <w:r>
        <w:rPr>
          <w:rStyle w:val="34"/>
          <w:lang w:eastAsia="zh-Hans"/>
        </w:rPr>
        <w:t>7.3.4 环保限停产管理</w:t>
      </w:r>
      <w:r>
        <w:tab/>
      </w:r>
      <w:r>
        <w:fldChar w:fldCharType="begin"/>
      </w:r>
      <w:r>
        <w:instrText xml:space="preserve"> PAGEREF _Toc115277265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"_Toc115277266" </w:instrText>
      </w:r>
      <w:r>
        <w:fldChar w:fldCharType="separate"/>
      </w:r>
      <w:r>
        <w:rPr>
          <w:rStyle w:val="34"/>
          <w:lang w:eastAsia="zh-Hans"/>
        </w:rPr>
        <w:t>7.3.5 手机APP</w:t>
      </w:r>
      <w:r>
        <w:tab/>
      </w:r>
      <w:r>
        <w:fldChar w:fldCharType="begin"/>
      </w:r>
      <w:r>
        <w:instrText xml:space="preserve"> PAGEREF _Toc115277266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"_Toc115277267" </w:instrText>
      </w:r>
      <w:r>
        <w:fldChar w:fldCharType="separate"/>
      </w:r>
      <w:r>
        <w:rPr>
          <w:rStyle w:val="34"/>
        </w:rPr>
        <w:t>7.4 外部接口</w:t>
      </w:r>
      <w:r>
        <w:tab/>
      </w:r>
      <w:r>
        <w:fldChar w:fldCharType="begin"/>
      </w:r>
      <w:r>
        <w:instrText xml:space="preserve"> PAGEREF _Toc115277267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"_Toc115277268" </w:instrText>
      </w:r>
      <w:r>
        <w:fldChar w:fldCharType="separate"/>
      </w:r>
      <w:r>
        <w:rPr>
          <w:rStyle w:val="34"/>
          <w:lang w:eastAsia="zh-Hans"/>
        </w:rPr>
        <w:t>7.4.1 设备电力感知数据交换</w:t>
      </w:r>
      <w:r>
        <w:tab/>
      </w:r>
      <w:r>
        <w:fldChar w:fldCharType="begin"/>
      </w:r>
      <w:r>
        <w:instrText xml:space="preserve"> PAGEREF _Toc115277268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"_Toc115277269" </w:instrText>
      </w:r>
      <w:r>
        <w:fldChar w:fldCharType="separate"/>
      </w:r>
      <w:r>
        <w:rPr>
          <w:rStyle w:val="34"/>
          <w:lang w:eastAsia="zh-Hans"/>
        </w:rPr>
        <w:t>7.4.2 其它数据交换</w:t>
      </w:r>
      <w:r>
        <w:tab/>
      </w:r>
      <w:r>
        <w:fldChar w:fldCharType="begin"/>
      </w:r>
      <w:r>
        <w:instrText xml:space="preserve"> PAGEREF _Toc115277269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"_Toc115277270" </w:instrText>
      </w:r>
      <w:r>
        <w:fldChar w:fldCharType="separate"/>
      </w:r>
      <w:r>
        <w:rPr>
          <w:rStyle w:val="34"/>
        </w:rPr>
        <w:t>7.5 系统运维</w:t>
      </w:r>
      <w:r>
        <w:tab/>
      </w:r>
      <w:r>
        <w:fldChar w:fldCharType="begin"/>
      </w:r>
      <w:r>
        <w:instrText xml:space="preserve"> PAGEREF _Toc115277270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"_Toc115277271" </w:instrText>
      </w:r>
      <w:r>
        <w:fldChar w:fldCharType="separate"/>
      </w:r>
      <w:r>
        <w:rPr>
          <w:rStyle w:val="34"/>
          <w:lang w:eastAsia="zh-Hans"/>
        </w:rPr>
        <w:t>7.5.1 设备管理</w:t>
      </w:r>
      <w:r>
        <w:tab/>
      </w:r>
      <w:r>
        <w:fldChar w:fldCharType="begin"/>
      </w:r>
      <w:r>
        <w:instrText xml:space="preserve"> PAGEREF _Toc115277271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"_Toc115277272" </w:instrText>
      </w:r>
      <w:r>
        <w:fldChar w:fldCharType="separate"/>
      </w:r>
      <w:r>
        <w:rPr>
          <w:rStyle w:val="34"/>
          <w:lang w:eastAsia="zh-Hans"/>
        </w:rPr>
        <w:t>7.5.2 安全管理</w:t>
      </w:r>
      <w:r>
        <w:tab/>
      </w:r>
      <w:r>
        <w:fldChar w:fldCharType="begin"/>
      </w:r>
      <w:r>
        <w:instrText xml:space="preserve"> PAGEREF _Toc115277272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"_Toc115277273" </w:instrText>
      </w:r>
      <w:r>
        <w:fldChar w:fldCharType="separate"/>
      </w:r>
      <w:r>
        <w:rPr>
          <w:rStyle w:val="34"/>
          <w:lang w:eastAsia="zh-Hans"/>
        </w:rPr>
        <w:t>7.5.3 数据备份</w:t>
      </w:r>
      <w:r>
        <w:tab/>
      </w:r>
      <w:r>
        <w:fldChar w:fldCharType="begin"/>
      </w:r>
      <w:r>
        <w:instrText xml:space="preserve"> PAGEREF _Toc115277273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"_Toc115277274" </w:instrText>
      </w:r>
      <w:r>
        <w:fldChar w:fldCharType="separate"/>
      </w:r>
      <w:r>
        <w:rPr>
          <w:rStyle w:val="34"/>
          <w:lang w:eastAsia="zh-Hans"/>
        </w:rPr>
        <w:t>7.5.4 日志记录</w:t>
      </w:r>
      <w:r>
        <w:tab/>
      </w:r>
      <w:r>
        <w:fldChar w:fldCharType="begin"/>
      </w:r>
      <w:r>
        <w:instrText xml:space="preserve"> PAGEREF _Toc115277274 \h </w:instrText>
      </w:r>
      <w:r>
        <w:fldChar w:fldCharType="separate"/>
      </w:r>
      <w:r>
        <w:t>4</w:t>
      </w:r>
      <w:r>
        <w:fldChar w:fldCharType="end"/>
      </w:r>
      <w:r>
        <w:fldChar w:fldCharType="end"/>
      </w:r>
    </w:p>
    <w:p>
      <w:pPr>
        <w:pStyle w:val="93"/>
        <w:spacing w:after="36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1"/>
    <w:p>
      <w:pPr>
        <w:pStyle w:val="91"/>
        <w:spacing w:after="360"/>
      </w:pPr>
      <w:bookmarkStart w:id="12" w:name="_Toc115277247"/>
      <w:bookmarkStart w:id="13" w:name="BookMark2"/>
      <w:r>
        <w:rPr>
          <w:spacing w:val="320"/>
        </w:rPr>
        <w:t>前</w:t>
      </w:r>
      <w:r>
        <w:t>言</w:t>
      </w:r>
      <w:bookmarkEnd w:id="12"/>
    </w:p>
    <w:p>
      <w:pPr>
        <w:pStyle w:val="58"/>
        <w:ind w:firstLine="420"/>
      </w:pPr>
      <w:r>
        <w:rPr>
          <w:rFonts w:hint="eastAsia"/>
        </w:rPr>
        <w:t>本文件按照《标准化工作导则  第1部分：标准化文件的结构和起草规则》的规定起草。</w:t>
      </w:r>
    </w:p>
    <w:p>
      <w:pPr>
        <w:pStyle w:val="58"/>
        <w:ind w:firstLine="420"/>
      </w:pPr>
      <w:r>
        <w:rPr>
          <w:rFonts w:hint="eastAsia"/>
        </w:rPr>
        <w:t>本文件由无锡“感知中国”物联网商会提出并归口。</w:t>
      </w:r>
    </w:p>
    <w:p>
      <w:pPr>
        <w:pStyle w:val="58"/>
        <w:ind w:firstLine="420"/>
      </w:pPr>
      <w:r>
        <w:rPr>
          <w:rFonts w:hint="eastAsia"/>
        </w:rPr>
        <w:t>本文件起草单位：</w:t>
      </w:r>
      <w:r>
        <w:t xml:space="preserve"> </w:t>
      </w:r>
    </w:p>
    <w:p>
      <w:pPr>
        <w:pStyle w:val="58"/>
        <w:ind w:firstLine="420"/>
      </w:pPr>
      <w:r>
        <w:rPr>
          <w:rFonts w:hint="eastAsia"/>
        </w:rPr>
        <w:t>本文件主要起草人：</w:t>
      </w:r>
      <w:r>
        <w:t xml:space="preserve"> </w:t>
      </w:r>
    </w:p>
    <w:p>
      <w:pPr>
        <w:pStyle w:val="58"/>
        <w:ind w:firstLine="420"/>
      </w:pPr>
    </w:p>
    <w:p>
      <w:pPr>
        <w:pStyle w:val="58"/>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fmt="upperRoman"/>
          <w:cols w:space="425" w:num="1"/>
          <w:formProt w:val="0"/>
          <w:docGrid w:linePitch="312" w:charSpace="0"/>
        </w:sectPr>
      </w:pPr>
    </w:p>
    <w:bookmarkEnd w:id="13"/>
    <w:p>
      <w:pPr>
        <w:spacing w:line="20" w:lineRule="exact"/>
        <w:jc w:val="center"/>
        <w:rPr>
          <w:rFonts w:ascii="黑体" w:hAnsi="黑体" w:eastAsia="黑体"/>
          <w:sz w:val="32"/>
          <w:szCs w:val="32"/>
        </w:rPr>
      </w:pPr>
      <w:bookmarkStart w:id="14" w:name="BookMark4"/>
    </w:p>
    <w:p>
      <w:pPr>
        <w:spacing w:line="20" w:lineRule="exact"/>
        <w:jc w:val="center"/>
        <w:rPr>
          <w:rFonts w:ascii="黑体" w:hAnsi="黑体" w:eastAsia="黑体"/>
          <w:sz w:val="32"/>
          <w:szCs w:val="32"/>
        </w:rPr>
      </w:pPr>
    </w:p>
    <w:sdt>
      <w:sdtPr>
        <w:tag w:val="NEW_STAND_NAME"/>
        <w:id w:val="595910757"/>
        <w:lock w:val="sdtLocked"/>
        <w:placeholder>
          <w:docPart w:val="835D0AF4DD634E3CA741384D6A2FB88B"/>
        </w:placeholder>
      </w:sdtPr>
      <w:sdtContent>
        <w:p>
          <w:pPr>
            <w:pStyle w:val="179"/>
            <w:spacing w:before="436" w:beforeLines="182" w:after="528" w:afterLines="220"/>
          </w:pPr>
          <w:bookmarkStart w:id="15" w:name="NEW_STAND_NAME"/>
          <w:r>
            <w:rPr>
              <w:rFonts w:hint="eastAsia"/>
            </w:rPr>
            <w:t>物联网 VOCS监测溯源系统技术要求</w:t>
          </w:r>
        </w:p>
      </w:sdtContent>
    </w:sdt>
    <w:bookmarkEnd w:id="15"/>
    <w:p>
      <w:pPr>
        <w:pStyle w:val="106"/>
        <w:spacing w:before="240" w:after="240"/>
      </w:pPr>
      <w:bookmarkStart w:id="16" w:name="_Toc26648465"/>
      <w:bookmarkStart w:id="17" w:name="_Toc24884211"/>
      <w:bookmarkStart w:id="18" w:name="_Toc17233333"/>
      <w:bookmarkStart w:id="19" w:name="_Toc26986530"/>
      <w:bookmarkStart w:id="20" w:name="_Toc24884218"/>
      <w:bookmarkStart w:id="21" w:name="_Toc115277248"/>
      <w:bookmarkStart w:id="22" w:name="_Toc17233325"/>
      <w:bookmarkStart w:id="23" w:name="_Toc26986771"/>
      <w:bookmarkStart w:id="24" w:name="_Toc26718930"/>
      <w:r>
        <w:rPr>
          <w:rFonts w:hint="eastAsia"/>
        </w:rPr>
        <w:t>范围</w:t>
      </w:r>
      <w:bookmarkEnd w:id="16"/>
      <w:bookmarkEnd w:id="17"/>
      <w:bookmarkEnd w:id="18"/>
      <w:bookmarkEnd w:id="19"/>
      <w:bookmarkEnd w:id="20"/>
      <w:bookmarkEnd w:id="21"/>
      <w:bookmarkEnd w:id="22"/>
      <w:bookmarkEnd w:id="23"/>
      <w:bookmarkEnd w:id="24"/>
    </w:p>
    <w:p>
      <w:pPr>
        <w:pStyle w:val="58"/>
        <w:ind w:firstLine="420"/>
      </w:pPr>
      <w:bookmarkStart w:id="25" w:name="_Toc24884212"/>
      <w:bookmarkStart w:id="26" w:name="_Toc17233326"/>
      <w:bookmarkStart w:id="27" w:name="_Toc17233334"/>
      <w:bookmarkStart w:id="28" w:name="_Toc24884219"/>
      <w:bookmarkStart w:id="29" w:name="_Toc26648466"/>
      <w:r>
        <w:rPr>
          <w:rFonts w:hint="eastAsia"/>
        </w:rPr>
        <w:t>本文件规定了面向物联网 VOCs治理设施同步运行率监测系统技术要求，包括：概述、系统结构和系统规范。</w:t>
      </w:r>
    </w:p>
    <w:p>
      <w:pPr>
        <w:pStyle w:val="58"/>
        <w:ind w:firstLine="420"/>
      </w:pPr>
      <w:r>
        <w:rPr>
          <w:rFonts w:hint="eastAsia"/>
        </w:rPr>
        <w:t>本文件适用于面向物联网 VOCs治理设施同步运行率监测系统的设计和开发。</w:t>
      </w:r>
    </w:p>
    <w:p>
      <w:pPr>
        <w:pStyle w:val="106"/>
        <w:spacing w:before="240" w:after="240"/>
      </w:pPr>
      <w:bookmarkStart w:id="30" w:name="_Toc26718931"/>
      <w:bookmarkStart w:id="31" w:name="_Toc115277249"/>
      <w:bookmarkStart w:id="32" w:name="_Toc26986772"/>
      <w:bookmarkStart w:id="33" w:name="_Toc26986531"/>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87D869D6BB0D4578A52C2CAA0A120B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ascii="Times New Roman"/>
        </w:rPr>
        <w:t xml:space="preserve">GB/T 33474-2016 </w:t>
      </w:r>
      <w:r>
        <w:rPr>
          <w:rFonts w:hint="eastAsia"/>
        </w:rPr>
        <w:t>物联网</w:t>
      </w:r>
      <w:r>
        <w:t xml:space="preserve"> </w:t>
      </w:r>
      <w:r>
        <w:rPr>
          <w:rFonts w:hint="eastAsia"/>
        </w:rPr>
        <w:t>参考体系结构</w:t>
      </w:r>
    </w:p>
    <w:p>
      <w:pPr>
        <w:pStyle w:val="58"/>
        <w:ind w:firstLine="420"/>
      </w:pPr>
      <w:r>
        <w:rPr>
          <w:rFonts w:hint="eastAsia" w:ascii="Times New Roman"/>
        </w:rPr>
        <w:t>HJ 212</w:t>
      </w:r>
      <w:r>
        <w:rPr>
          <w:rFonts w:hint="eastAsia"/>
        </w:rPr>
        <w:t xml:space="preserve"> 污染物在线自动监控(监测)系统数据传输标准</w:t>
      </w:r>
    </w:p>
    <w:p>
      <w:pPr>
        <w:pStyle w:val="58"/>
        <w:ind w:firstLine="420"/>
      </w:pPr>
      <w:r>
        <w:rPr>
          <w:rFonts w:hint="eastAsia" w:ascii="Times New Roman"/>
        </w:rPr>
        <w:t>HJ 2000</w:t>
      </w:r>
      <w:r>
        <w:t xml:space="preserve"> </w:t>
      </w:r>
      <w:r>
        <w:rPr>
          <w:rFonts w:hint="eastAsia"/>
        </w:rPr>
        <w:t>大气污染治理工程技术导则</w:t>
      </w:r>
    </w:p>
    <w:p>
      <w:pPr>
        <w:pStyle w:val="58"/>
        <w:ind w:firstLine="420"/>
        <w:rPr>
          <w:rFonts w:ascii="Times New Roman"/>
        </w:rPr>
      </w:pPr>
      <w:r>
        <w:rPr>
          <w:rFonts w:hint="eastAsia" w:ascii="Times New Roman"/>
        </w:rPr>
        <w:t>HJ 447 污染源在线自动监控(监测)数据采集传输仪技术要求</w:t>
      </w:r>
    </w:p>
    <w:p>
      <w:pPr>
        <w:pStyle w:val="58"/>
        <w:ind w:firstLine="420"/>
        <w:rPr>
          <w:rFonts w:ascii="Times New Roman"/>
        </w:rPr>
      </w:pPr>
      <w:r>
        <w:rPr>
          <w:rFonts w:hint="eastAsia" w:ascii="Times New Roman"/>
        </w:rPr>
        <w:t>GB/T16706</w:t>
      </w:r>
      <w:r>
        <w:rPr>
          <w:rFonts w:ascii="Times New Roman"/>
        </w:rPr>
        <w:t xml:space="preserve"> </w:t>
      </w:r>
      <w:r>
        <w:rPr>
          <w:rFonts w:hint="eastAsia" w:ascii="Times New Roman"/>
        </w:rPr>
        <w:t>环境污染源类别代码</w:t>
      </w:r>
    </w:p>
    <w:p>
      <w:pPr>
        <w:pStyle w:val="58"/>
        <w:ind w:firstLine="420"/>
        <w:rPr>
          <w:rFonts w:ascii="Times New Roman"/>
        </w:rPr>
      </w:pPr>
      <w:r>
        <w:rPr>
          <w:rFonts w:hint="eastAsia" w:ascii="Times New Roman"/>
        </w:rPr>
        <w:t>GB/T 17214</w:t>
      </w:r>
      <w:r>
        <w:rPr>
          <w:rFonts w:ascii="Times New Roman"/>
        </w:rPr>
        <w:t xml:space="preserve"> </w:t>
      </w:r>
      <w:r>
        <w:rPr>
          <w:rFonts w:hint="eastAsia" w:ascii="Times New Roman"/>
        </w:rPr>
        <w:t>工业过程测量和控制装置的工作条件</w:t>
      </w:r>
    </w:p>
    <w:p>
      <w:pPr>
        <w:pStyle w:val="58"/>
        <w:ind w:firstLine="420"/>
        <w:rPr>
          <w:rFonts w:ascii="Times New Roman"/>
        </w:rPr>
      </w:pPr>
      <w:r>
        <w:rPr>
          <w:rFonts w:hint="eastAsia" w:ascii="Times New Roman"/>
        </w:rPr>
        <w:t>GB 3100</w:t>
      </w:r>
      <w:r>
        <w:rPr>
          <w:rFonts w:hint="eastAsia" w:ascii="Times New Roman"/>
        </w:rPr>
        <w:tab/>
      </w:r>
      <w:r>
        <w:rPr>
          <w:rFonts w:hint="eastAsia" w:ascii="Times New Roman"/>
        </w:rPr>
        <w:t>国际单位制及其应用</w:t>
      </w:r>
    </w:p>
    <w:p>
      <w:pPr>
        <w:pStyle w:val="58"/>
        <w:ind w:firstLine="420"/>
        <w:rPr>
          <w:rFonts w:ascii="Times New Roman"/>
        </w:rPr>
      </w:pPr>
      <w:r>
        <w:rPr>
          <w:rFonts w:hint="eastAsia" w:ascii="Times New Roman"/>
        </w:rPr>
        <w:t>GB 3101</w:t>
      </w:r>
      <w:r>
        <w:rPr>
          <w:rFonts w:hint="eastAsia" w:ascii="Times New Roman"/>
        </w:rPr>
        <w:tab/>
      </w:r>
      <w:r>
        <w:rPr>
          <w:rFonts w:hint="eastAsia" w:ascii="Times New Roman"/>
        </w:rPr>
        <w:t>有关量、单位和符号的一般原则</w:t>
      </w:r>
    </w:p>
    <w:p>
      <w:pPr>
        <w:pStyle w:val="58"/>
        <w:ind w:firstLine="420"/>
        <w:rPr>
          <w:rFonts w:ascii="Times New Roman"/>
        </w:rPr>
      </w:pPr>
      <w:r>
        <w:rPr>
          <w:rFonts w:hint="eastAsia" w:ascii="Times New Roman"/>
        </w:rPr>
        <w:t>GB 1208</w:t>
      </w:r>
      <w:r>
        <w:rPr>
          <w:rFonts w:hint="eastAsia" w:ascii="Times New Roman"/>
        </w:rPr>
        <w:tab/>
      </w:r>
      <w:r>
        <w:rPr>
          <w:rFonts w:hint="eastAsia" w:ascii="Times New Roman"/>
        </w:rPr>
        <w:t>采中文标准名称:电流互感器</w:t>
      </w:r>
    </w:p>
    <w:p>
      <w:pPr>
        <w:pStyle w:val="58"/>
        <w:ind w:firstLine="420"/>
        <w:rPr>
          <w:rFonts w:ascii="Times New Roman"/>
        </w:rPr>
      </w:pPr>
      <w:r>
        <w:rPr>
          <w:rFonts w:hint="eastAsia" w:ascii="Times New Roman"/>
        </w:rPr>
        <w:t>GB/T13850</w:t>
      </w:r>
      <w:r>
        <w:rPr>
          <w:rFonts w:ascii="Times New Roman"/>
        </w:rPr>
        <w:t xml:space="preserve"> </w:t>
      </w:r>
      <w:r>
        <w:rPr>
          <w:rFonts w:hint="eastAsia" w:ascii="Times New Roman"/>
        </w:rPr>
        <w:t>交流电量转换为模拟量或数字信号的电测量变送器</w:t>
      </w:r>
    </w:p>
    <w:p>
      <w:pPr>
        <w:pStyle w:val="58"/>
        <w:ind w:firstLine="420"/>
        <w:rPr>
          <w:rFonts w:ascii="Times New Roman"/>
        </w:rPr>
      </w:pPr>
      <w:r>
        <w:rPr>
          <w:rFonts w:hint="eastAsia" w:ascii="Times New Roman"/>
        </w:rPr>
        <w:t>DL/T5137</w:t>
      </w:r>
      <w:r>
        <w:rPr>
          <w:rFonts w:ascii="Times New Roman"/>
        </w:rPr>
        <w:t xml:space="preserve"> </w:t>
      </w:r>
      <w:r>
        <w:rPr>
          <w:rFonts w:hint="eastAsia" w:ascii="Times New Roman"/>
        </w:rPr>
        <w:t>电测量及电能计量设计技术规程</w:t>
      </w:r>
    </w:p>
    <w:p>
      <w:pPr>
        <w:pStyle w:val="58"/>
        <w:ind w:firstLine="420"/>
        <w:rPr>
          <w:rFonts w:ascii="Times New Roman"/>
        </w:rPr>
      </w:pPr>
      <w:r>
        <w:rPr>
          <w:rFonts w:hint="eastAsia" w:ascii="Times New Roman"/>
        </w:rPr>
        <w:t>GB 3102.1</w:t>
      </w:r>
      <w:r>
        <w:rPr>
          <w:rFonts w:ascii="Times New Roman"/>
        </w:rPr>
        <w:t xml:space="preserve"> </w:t>
      </w:r>
      <w:r>
        <w:rPr>
          <w:rFonts w:hint="eastAsia" w:ascii="Times New Roman"/>
        </w:rPr>
        <w:t>空间和时间的量和单位</w:t>
      </w:r>
    </w:p>
    <w:p>
      <w:pPr>
        <w:pStyle w:val="58"/>
        <w:ind w:firstLine="420"/>
        <w:rPr>
          <w:rFonts w:ascii="Times New Roman"/>
        </w:rPr>
      </w:pPr>
      <w:r>
        <w:rPr>
          <w:rFonts w:hint="eastAsia" w:ascii="Times New Roman"/>
        </w:rPr>
        <w:t>GB 4793.1</w:t>
      </w:r>
      <w:r>
        <w:rPr>
          <w:rFonts w:ascii="Times New Roman"/>
        </w:rPr>
        <w:t xml:space="preserve"> </w:t>
      </w:r>
      <w:r>
        <w:rPr>
          <w:rFonts w:hint="eastAsia" w:ascii="Times New Roman"/>
        </w:rPr>
        <w:t>测量、控制和实验室用电气设备的安全要求 第一部分：通用要求</w:t>
      </w:r>
    </w:p>
    <w:p>
      <w:pPr>
        <w:pStyle w:val="58"/>
        <w:ind w:firstLine="420"/>
        <w:rPr>
          <w:rFonts w:ascii="Times New Roman"/>
        </w:rPr>
      </w:pPr>
      <w:r>
        <w:rPr>
          <w:rFonts w:hint="eastAsia" w:ascii="Times New Roman"/>
        </w:rPr>
        <w:t>GB/T6587</w:t>
      </w:r>
      <w:r>
        <w:rPr>
          <w:rFonts w:ascii="Times New Roman"/>
        </w:rPr>
        <w:t xml:space="preserve"> </w:t>
      </w:r>
      <w:r>
        <w:rPr>
          <w:rFonts w:hint="eastAsia" w:ascii="Times New Roman"/>
        </w:rPr>
        <w:t>电子测量仪器 基本安全试验</w:t>
      </w:r>
    </w:p>
    <w:p>
      <w:pPr>
        <w:pStyle w:val="58"/>
        <w:ind w:firstLine="420"/>
        <w:rPr>
          <w:rFonts w:ascii="Times New Roman"/>
        </w:rPr>
      </w:pPr>
      <w:r>
        <w:rPr>
          <w:rFonts w:hint="eastAsia" w:ascii="Times New Roman"/>
        </w:rPr>
        <w:t>GB/T17626</w:t>
      </w:r>
      <w:r>
        <w:rPr>
          <w:rFonts w:ascii="Times New Roman"/>
        </w:rPr>
        <w:t xml:space="preserve"> </w:t>
      </w:r>
      <w:r>
        <w:rPr>
          <w:rFonts w:hint="eastAsia" w:ascii="Times New Roman"/>
        </w:rPr>
        <w:t>电磁兼容 实验和测量技术</w:t>
      </w:r>
    </w:p>
    <w:p>
      <w:pPr>
        <w:pStyle w:val="106"/>
        <w:spacing w:before="240" w:after="240"/>
        <w:rPr>
          <w:szCs w:val="21"/>
        </w:rPr>
      </w:pPr>
      <w:bookmarkStart w:id="34" w:name="_Toc115277250"/>
      <w:r>
        <w:rPr>
          <w:rFonts w:hint="eastAsia"/>
          <w:szCs w:val="21"/>
        </w:rPr>
        <w:t>术语和定义</w:t>
      </w:r>
      <w:bookmarkEnd w:id="34"/>
    </w:p>
    <w:sdt>
      <w:sdtPr>
        <w:rPr>
          <w:rFonts w:hint="eastAsia"/>
        </w:rPr>
        <w:id w:val="-1909835108"/>
        <w:placeholder>
          <w:docPart w:val="9BCDCFE7743243B5A540BF1D7031A8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8"/>
            <w:ind w:firstLine="420"/>
          </w:pPr>
          <w:bookmarkStart w:id="35" w:name="_Toc26986532"/>
          <w:bookmarkEnd w:id="35"/>
          <w:r>
            <w:rPr>
              <w:rFonts w:hint="eastAsia"/>
            </w:rPr>
            <w:t>本文件没有需要界定的术语和定义。</w:t>
          </w:r>
        </w:p>
      </w:sdtContent>
    </w:sdt>
    <w:p>
      <w:pPr>
        <w:pStyle w:val="106"/>
        <w:spacing w:before="240" w:after="240"/>
      </w:pPr>
      <w:bookmarkStart w:id="36" w:name="_Toc115277251"/>
      <w:bookmarkStart w:id="37" w:name="_Toc1394872817"/>
      <w:r>
        <w:rPr>
          <w:rFonts w:hint="eastAsia"/>
        </w:rPr>
        <w:t>缩略语</w:t>
      </w:r>
      <w:bookmarkEnd w:id="36"/>
      <w:bookmarkEnd w:id="37"/>
    </w:p>
    <w:p>
      <w:pPr>
        <w:pStyle w:val="58"/>
        <w:ind w:firstLine="420"/>
      </w:pPr>
      <w:r>
        <w:rPr>
          <w:rFonts w:hint="eastAsia"/>
        </w:rPr>
        <w:t>下列缩略语适用于本文件。</w:t>
      </w:r>
    </w:p>
    <w:p>
      <w:pPr>
        <w:pStyle w:val="58"/>
        <w:ind w:firstLine="420"/>
        <w:rPr>
          <w:rFonts w:ascii="Times New Roman"/>
        </w:rPr>
      </w:pPr>
      <w:r>
        <w:rPr>
          <w:rFonts w:ascii="Times New Roman"/>
        </w:rPr>
        <w:t>VOC</w:t>
      </w:r>
      <w:r>
        <w:rPr>
          <w:rFonts w:hint="eastAsia" w:ascii="Times New Roman"/>
        </w:rPr>
        <w:t>s</w:t>
      </w:r>
      <w:r>
        <w:rPr>
          <w:rFonts w:ascii="Times New Roman"/>
        </w:rPr>
        <w:t xml:space="preserve"> </w:t>
      </w:r>
      <w:r>
        <w:rPr>
          <w:rFonts w:hint="eastAsia" w:ascii="Times New Roman"/>
        </w:rPr>
        <w:t>挥发性有机物（</w:t>
      </w:r>
      <w:r>
        <w:rPr>
          <w:rFonts w:ascii="Times New Roman"/>
        </w:rPr>
        <w:t>Volatile Organic Compounds</w:t>
      </w:r>
      <w:r>
        <w:rPr>
          <w:rFonts w:hint="eastAsia" w:ascii="Times New Roman"/>
        </w:rPr>
        <w:t>）</w:t>
      </w:r>
    </w:p>
    <w:p>
      <w:pPr>
        <w:pStyle w:val="58"/>
        <w:ind w:firstLine="420"/>
        <w:rPr>
          <w:rFonts w:ascii="Times New Roman"/>
        </w:rPr>
      </w:pPr>
      <w:r>
        <w:rPr>
          <w:rFonts w:ascii="Times New Roman"/>
        </w:rPr>
        <w:t xml:space="preserve">IoT </w:t>
      </w:r>
      <w:r>
        <w:rPr>
          <w:rFonts w:hint="eastAsia" w:ascii="Times New Roman"/>
        </w:rPr>
        <w:t>物联网（</w:t>
      </w:r>
      <w:r>
        <w:rPr>
          <w:rFonts w:ascii="Times New Roman"/>
        </w:rPr>
        <w:t>Internet of Things</w:t>
      </w:r>
      <w:r>
        <w:rPr>
          <w:rFonts w:hint="eastAsia" w:ascii="Times New Roman"/>
        </w:rPr>
        <w:t>）</w:t>
      </w:r>
    </w:p>
    <w:p>
      <w:pPr>
        <w:pStyle w:val="58"/>
        <w:ind w:firstLine="420"/>
        <w:rPr>
          <w:rFonts w:ascii="Times New Roman"/>
        </w:rPr>
      </w:pPr>
      <w:r>
        <w:rPr>
          <w:rFonts w:ascii="Times New Roman"/>
        </w:rPr>
        <w:t xml:space="preserve">ACD </w:t>
      </w:r>
      <w:r>
        <w:rPr>
          <w:rFonts w:hint="eastAsia" w:ascii="Times New Roman"/>
        </w:rPr>
        <w:t>资源交换域（</w:t>
      </w:r>
      <w:r>
        <w:rPr>
          <w:rFonts w:ascii="Times New Roman"/>
        </w:rPr>
        <w:t>Access &amp; Communications Domain</w:t>
      </w:r>
      <w:r>
        <w:rPr>
          <w:rFonts w:hint="eastAsia" w:ascii="Times New Roman"/>
        </w:rPr>
        <w:t>）</w:t>
      </w:r>
    </w:p>
    <w:p>
      <w:pPr>
        <w:pStyle w:val="58"/>
        <w:ind w:firstLine="420"/>
        <w:rPr>
          <w:rFonts w:ascii="Times New Roman"/>
        </w:rPr>
      </w:pPr>
      <w:r>
        <w:rPr>
          <w:rFonts w:ascii="Times New Roman"/>
        </w:rPr>
        <w:t xml:space="preserve">ASD </w:t>
      </w:r>
      <w:r>
        <w:rPr>
          <w:rFonts w:hint="eastAsia" w:ascii="Times New Roman"/>
        </w:rPr>
        <w:t>服务提供域（</w:t>
      </w:r>
      <w:r>
        <w:rPr>
          <w:rFonts w:ascii="Times New Roman"/>
        </w:rPr>
        <w:t>Application &amp; Service Domain</w:t>
      </w:r>
      <w:r>
        <w:rPr>
          <w:rFonts w:hint="eastAsia" w:ascii="Times New Roman"/>
        </w:rPr>
        <w:t>）</w:t>
      </w:r>
    </w:p>
    <w:p>
      <w:pPr>
        <w:pStyle w:val="58"/>
        <w:ind w:firstLine="420"/>
        <w:rPr>
          <w:rFonts w:ascii="Times New Roman"/>
        </w:rPr>
      </w:pPr>
      <w:r>
        <w:rPr>
          <w:rFonts w:ascii="Times New Roman"/>
        </w:rPr>
        <w:t xml:space="preserve">OMD </w:t>
      </w:r>
      <w:r>
        <w:rPr>
          <w:rFonts w:hint="eastAsia" w:ascii="Times New Roman"/>
        </w:rPr>
        <w:t>运维管控域（</w:t>
      </w:r>
      <w:r>
        <w:rPr>
          <w:rFonts w:ascii="Times New Roman"/>
        </w:rPr>
        <w:t>Operation &amp; Management Domain</w:t>
      </w:r>
      <w:r>
        <w:rPr>
          <w:rFonts w:hint="eastAsia" w:ascii="Times New Roman"/>
        </w:rPr>
        <w:t>）</w:t>
      </w:r>
    </w:p>
    <w:p>
      <w:pPr>
        <w:pStyle w:val="58"/>
        <w:ind w:firstLine="420"/>
        <w:rPr>
          <w:rFonts w:ascii="Times New Roman"/>
        </w:rPr>
      </w:pPr>
      <w:r>
        <w:rPr>
          <w:rFonts w:ascii="Times New Roman"/>
        </w:rPr>
        <w:t xml:space="preserve">PED </w:t>
      </w:r>
      <w:r>
        <w:rPr>
          <w:rFonts w:hint="eastAsia" w:ascii="Times New Roman"/>
        </w:rPr>
        <w:t>目标对象域（</w:t>
      </w:r>
      <w:r>
        <w:rPr>
          <w:rFonts w:ascii="Times New Roman"/>
        </w:rPr>
        <w:t>Physical Entity Domain</w:t>
      </w:r>
      <w:r>
        <w:rPr>
          <w:rFonts w:hint="eastAsia" w:ascii="Times New Roman"/>
        </w:rPr>
        <w:t>）</w:t>
      </w:r>
    </w:p>
    <w:p>
      <w:pPr>
        <w:pStyle w:val="58"/>
        <w:ind w:firstLine="420"/>
        <w:rPr>
          <w:rFonts w:ascii="Times New Roman"/>
        </w:rPr>
      </w:pPr>
      <w:r>
        <w:rPr>
          <w:rFonts w:ascii="Times New Roman"/>
        </w:rPr>
        <w:t xml:space="preserve">SCD </w:t>
      </w:r>
      <w:r>
        <w:rPr>
          <w:rFonts w:hint="eastAsia" w:ascii="Times New Roman"/>
        </w:rPr>
        <w:t>感知控制域（</w:t>
      </w:r>
      <w:r>
        <w:rPr>
          <w:rFonts w:ascii="Times New Roman"/>
        </w:rPr>
        <w:t>Sensing and Controlling Domain</w:t>
      </w:r>
      <w:r>
        <w:rPr>
          <w:rFonts w:hint="eastAsia" w:ascii="Times New Roman"/>
        </w:rPr>
        <w:t>）</w:t>
      </w:r>
    </w:p>
    <w:p>
      <w:pPr>
        <w:pStyle w:val="58"/>
        <w:ind w:firstLine="420"/>
        <w:rPr>
          <w:rFonts w:ascii="Times New Roman"/>
        </w:rPr>
      </w:pPr>
      <w:r>
        <w:rPr>
          <w:rFonts w:ascii="Times New Roman"/>
        </w:rPr>
        <w:t xml:space="preserve">UD  </w:t>
      </w:r>
      <w:r>
        <w:rPr>
          <w:rFonts w:hint="eastAsia" w:ascii="Times New Roman"/>
        </w:rPr>
        <w:t>用户域（</w:t>
      </w:r>
      <w:r>
        <w:rPr>
          <w:rFonts w:ascii="Times New Roman"/>
        </w:rPr>
        <w:t>User Domain</w:t>
      </w:r>
      <w:r>
        <w:rPr>
          <w:rFonts w:hint="eastAsia" w:ascii="Times New Roman"/>
        </w:rPr>
        <w:t>）</w:t>
      </w:r>
    </w:p>
    <w:p>
      <w:pPr>
        <w:pStyle w:val="106"/>
        <w:spacing w:before="240" w:after="240"/>
      </w:pPr>
      <w:bookmarkStart w:id="38" w:name="_Toc115277252"/>
      <w:r>
        <w:rPr>
          <w:rFonts w:hint="eastAsia"/>
        </w:rPr>
        <w:t>概述</w:t>
      </w:r>
      <w:bookmarkEnd w:id="38"/>
    </w:p>
    <w:p>
      <w:pPr>
        <w:pStyle w:val="58"/>
        <w:ind w:firstLine="420"/>
      </w:pPr>
      <w:r>
        <w:rPr>
          <w:rFonts w:hint="eastAsia"/>
        </w:rPr>
        <w:t>VOCs治理设施同步运行率监测系统应针对两个重点应用方向进行研发：一方面应用物联网技术，研究对排污企业产污、治污、排污行为的感知，实现排污监管从“末端监测”向“全过程行为监管”的转变。从排污企业的产污、治污、排污的全过程的监管，可以全面地了解排污企业的产污情况、治理情况、排污情况，从而应该监测V</w:t>
      </w:r>
      <w:r>
        <w:t>OC</w:t>
      </w:r>
      <w:r>
        <w:rPr>
          <w:rFonts w:hint="eastAsia"/>
        </w:rPr>
        <w:t>治理设施同步运行效率，使监管人员更详细了解企业的排污情况，为高效、准确执法提供可靠的数据支持。另一方面应用数据分析技术，研究对监控数据的分析，提供对排污企业监管的辅助决策工具。应根据排污企业废气的产生、治理、排放的监测数据与工艺流程建立仿真数学模型，在模型的基础上进行数据分析、数据挖掘，应自动推断出可疑的异常企业。</w:t>
      </w:r>
    </w:p>
    <w:p>
      <w:pPr>
        <w:pStyle w:val="106"/>
        <w:spacing w:before="240" w:after="240"/>
      </w:pPr>
      <w:bookmarkStart w:id="39" w:name="_Toc115277253"/>
      <w:r>
        <w:rPr>
          <w:rFonts w:hint="eastAsia"/>
        </w:rPr>
        <w:t>系统结构</w:t>
      </w:r>
      <w:bookmarkEnd w:id="39"/>
    </w:p>
    <w:p>
      <w:pPr>
        <w:pStyle w:val="58"/>
        <w:ind w:firstLine="0" w:firstLineChars="0"/>
        <w:jc w:val="center"/>
      </w:pPr>
      <w:r>
        <w:drawing>
          <wp:inline distT="0" distB="0" distL="0" distR="0">
            <wp:extent cx="3670300" cy="372046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6"/>
                    <a:stretch>
                      <a:fillRect/>
                    </a:stretch>
                  </pic:blipFill>
                  <pic:spPr>
                    <a:xfrm>
                      <a:off x="0" y="0"/>
                      <a:ext cx="3680974" cy="3730951"/>
                    </a:xfrm>
                    <a:prstGeom prst="rect">
                      <a:avLst/>
                    </a:prstGeom>
                  </pic:spPr>
                </pic:pic>
              </a:graphicData>
            </a:graphic>
          </wp:inline>
        </w:drawing>
      </w:r>
    </w:p>
    <w:p>
      <w:pPr>
        <w:pStyle w:val="116"/>
        <w:spacing w:before="120" w:after="120"/>
      </w:pPr>
      <w:r>
        <w:rPr>
          <w:rFonts w:hint="eastAsia"/>
        </w:rPr>
        <w:t>VOCs治理设施同步运行率监测系统结构图</w:t>
      </w:r>
    </w:p>
    <w:p>
      <w:pPr>
        <w:pStyle w:val="58"/>
        <w:ind w:firstLine="420"/>
      </w:pPr>
      <w:r>
        <w:rPr>
          <w:rFonts w:hint="eastAsia"/>
        </w:rPr>
        <w:t>图1给出了VOCs治理设施同步运行率监测系统结构，与GB/T 33474-2016 物联网参考体系结构一致，包括六个域：</w:t>
      </w:r>
    </w:p>
    <w:p>
      <w:pPr>
        <w:pStyle w:val="58"/>
        <w:ind w:firstLine="420"/>
      </w:pPr>
      <w:r>
        <w:rPr>
          <w:rFonts w:hint="eastAsia"/>
        </w:rPr>
        <w:t>a)</w:t>
      </w:r>
      <w:r>
        <w:rPr>
          <w:rFonts w:hint="eastAsia"/>
        </w:rPr>
        <w:tab/>
      </w:r>
      <w:r>
        <w:rPr>
          <w:rFonts w:hint="eastAsia"/>
        </w:rPr>
        <w:t>目标对象域（PED）指被监测的设备用电情况。</w:t>
      </w:r>
    </w:p>
    <w:p>
      <w:pPr>
        <w:pStyle w:val="58"/>
        <w:ind w:firstLine="420"/>
      </w:pPr>
      <w:r>
        <w:rPr>
          <w:rFonts w:hint="eastAsia"/>
        </w:rPr>
        <w:t>b)</w:t>
      </w:r>
      <w:r>
        <w:rPr>
          <w:rFonts w:hint="eastAsia"/>
        </w:rPr>
        <w:tab/>
      </w:r>
      <w:r>
        <w:rPr>
          <w:rFonts w:hint="eastAsia"/>
        </w:rPr>
        <w:t>感知控制域（SCD）实现对设备电力感知。</w:t>
      </w:r>
    </w:p>
    <w:p>
      <w:pPr>
        <w:pStyle w:val="58"/>
        <w:ind w:left="836" w:hanging="416" w:firstLineChars="0"/>
      </w:pPr>
      <w:r>
        <w:rPr>
          <w:rFonts w:hint="eastAsia"/>
        </w:rPr>
        <w:t>c)</w:t>
      </w:r>
      <w:r>
        <w:rPr>
          <w:rFonts w:hint="eastAsia"/>
        </w:rPr>
        <w:tab/>
      </w:r>
      <w:r>
        <w:rPr>
          <w:rFonts w:hint="eastAsia"/>
        </w:rPr>
        <w:t>服务提供领域（ASD）为用户提供对污染源企业的VOCs治理设施同步运行率监测系统平台实现，实现基本信息管理、数据监测管理、告警管理、环保限停产管理、手机A</w:t>
      </w:r>
      <w:r>
        <w:t>PP</w:t>
      </w:r>
      <w:r>
        <w:rPr>
          <w:rFonts w:hint="eastAsia"/>
        </w:rPr>
        <w:t>这些功能实体。</w:t>
      </w:r>
    </w:p>
    <w:p>
      <w:pPr>
        <w:pStyle w:val="58"/>
        <w:ind w:firstLine="420"/>
      </w:pPr>
      <w:r>
        <w:rPr>
          <w:rFonts w:hint="eastAsia"/>
        </w:rPr>
        <w:t>d)</w:t>
      </w:r>
      <w:r>
        <w:rPr>
          <w:rFonts w:hint="eastAsia"/>
        </w:rPr>
        <w:tab/>
      </w:r>
      <w:r>
        <w:rPr>
          <w:rFonts w:hint="eastAsia"/>
        </w:rPr>
        <w:t>运维管控域（OMD）实现对系统的运行维护管理。</w:t>
      </w:r>
    </w:p>
    <w:p>
      <w:pPr>
        <w:pStyle w:val="58"/>
        <w:ind w:firstLine="420"/>
      </w:pPr>
      <w:r>
        <w:rPr>
          <w:rFonts w:hint="eastAsia"/>
        </w:rPr>
        <w:t>e)</w:t>
      </w:r>
      <w:r>
        <w:rPr>
          <w:rFonts w:hint="eastAsia"/>
        </w:rPr>
        <w:tab/>
      </w:r>
      <w:r>
        <w:rPr>
          <w:rFonts w:hint="eastAsia"/>
        </w:rPr>
        <w:t>资源交换域（ACD）提供与外部对接。</w:t>
      </w:r>
    </w:p>
    <w:p>
      <w:pPr>
        <w:pStyle w:val="58"/>
        <w:ind w:firstLine="420"/>
      </w:pPr>
      <w:r>
        <w:rPr>
          <w:rFonts w:hint="eastAsia"/>
        </w:rPr>
        <w:t>f)</w:t>
      </w:r>
      <w:r>
        <w:rPr>
          <w:rFonts w:hint="eastAsia"/>
        </w:rPr>
        <w:tab/>
      </w:r>
      <w:r>
        <w:rPr>
          <w:rFonts w:hint="eastAsia"/>
        </w:rPr>
        <w:t>用户域（UD）指VOC</w:t>
      </w:r>
      <w:r>
        <w:t>s</w:t>
      </w:r>
      <w:r>
        <w:rPr>
          <w:rFonts w:hint="eastAsia"/>
        </w:rPr>
        <w:t>监测溯源系统的用户，包括环保单位和产治污单位。</w:t>
      </w:r>
    </w:p>
    <w:p>
      <w:pPr>
        <w:pStyle w:val="58"/>
        <w:ind w:firstLine="420" w:firstLineChars="0"/>
      </w:pPr>
      <w:r>
        <w:rPr>
          <w:rFonts w:hint="eastAsia"/>
        </w:rPr>
        <w:t>以物联网系统结构为基础，本文件第7章给出了物联网VOCs治理设施同步运行率监测系统的技术规范，包括系统用户、环境感知设备、VOCs治理设施同步运行率监测系统、系统外部接口、系统运维管控的技术要求。</w:t>
      </w:r>
    </w:p>
    <w:p>
      <w:pPr>
        <w:pStyle w:val="106"/>
        <w:spacing w:before="240" w:after="240"/>
      </w:pPr>
      <w:bookmarkStart w:id="40" w:name="_Toc115277254"/>
      <w:r>
        <w:rPr>
          <w:rFonts w:hint="eastAsia"/>
        </w:rPr>
        <w:t>系统规范</w:t>
      </w:r>
      <w:bookmarkEnd w:id="40"/>
    </w:p>
    <w:p>
      <w:pPr>
        <w:pStyle w:val="107"/>
        <w:spacing w:before="120" w:after="120"/>
      </w:pPr>
      <w:bookmarkStart w:id="41" w:name="_Toc115277255"/>
      <w:r>
        <w:rPr>
          <w:rFonts w:hint="eastAsia"/>
        </w:rPr>
        <w:t>系统用户</w:t>
      </w:r>
      <w:bookmarkEnd w:id="41"/>
    </w:p>
    <w:p>
      <w:pPr>
        <w:pStyle w:val="67"/>
        <w:spacing w:before="120" w:after="120"/>
        <w:rPr>
          <w:szCs w:val="22"/>
          <w:lang w:eastAsia="zh-Hans"/>
        </w:rPr>
      </w:pPr>
      <w:bookmarkStart w:id="42" w:name="_Toc115277256"/>
      <w:r>
        <w:rPr>
          <w:rFonts w:hint="eastAsia"/>
          <w:szCs w:val="22"/>
          <w:lang w:eastAsia="zh-Hans"/>
        </w:rPr>
        <w:t>环保单位</w:t>
      </w:r>
      <w:bookmarkEnd w:id="42"/>
    </w:p>
    <w:p>
      <w:pPr>
        <w:pStyle w:val="58"/>
        <w:ind w:firstLine="420"/>
        <w:rPr>
          <w:lang w:eastAsia="zh-Hans"/>
        </w:rPr>
      </w:pPr>
      <w:r>
        <w:rPr>
          <w:rFonts w:hint="eastAsia"/>
          <w:lang w:eastAsia="zh-Hans"/>
        </w:rPr>
        <w:t>应指需要对污染源企业</w:t>
      </w:r>
      <w:r>
        <w:rPr>
          <w:rFonts w:hint="eastAsia"/>
        </w:rPr>
        <w:t>V</w:t>
      </w:r>
      <w:r>
        <w:t>OCs</w:t>
      </w:r>
      <w:r>
        <w:rPr>
          <w:rFonts w:hint="eastAsia"/>
        </w:rPr>
        <w:t>治理设施进行巡查</w:t>
      </w:r>
      <w:r>
        <w:rPr>
          <w:rFonts w:hint="eastAsia"/>
          <w:lang w:eastAsia="zh-Hans"/>
        </w:rPr>
        <w:t>的各类机构用户（环保厅、市级或区县级环保局、环保大队等）。</w:t>
      </w:r>
    </w:p>
    <w:p>
      <w:pPr>
        <w:pStyle w:val="58"/>
        <w:ind w:firstLine="420"/>
        <w:rPr>
          <w:lang w:eastAsia="zh-Hans"/>
        </w:rPr>
      </w:pPr>
      <w:r>
        <w:rPr>
          <w:rFonts w:hint="eastAsia"/>
          <w:lang w:eastAsia="zh-Hans"/>
        </w:rPr>
        <w:t>根据要求，管理部门应及时对平台内展示的</w:t>
      </w:r>
      <w:r>
        <w:rPr>
          <w:rFonts w:hint="eastAsia"/>
        </w:rPr>
        <w:t>V</w:t>
      </w:r>
      <w:r>
        <w:t>OC</w:t>
      </w:r>
      <w:r>
        <w:rPr>
          <w:rFonts w:hint="eastAsia"/>
        </w:rPr>
        <w:t>s产污设施和治理设施</w:t>
      </w:r>
      <w:r>
        <w:rPr>
          <w:rFonts w:hint="eastAsia"/>
          <w:lang w:eastAsia="zh-Hans"/>
        </w:rPr>
        <w:t>数值进行查看，并应结合</w:t>
      </w:r>
      <w:r>
        <w:rPr>
          <w:rFonts w:hint="eastAsia"/>
        </w:rPr>
        <w:t>设施预警数据</w:t>
      </w:r>
      <w:r>
        <w:rPr>
          <w:rFonts w:hint="eastAsia"/>
          <w:lang w:eastAsia="zh-Hans"/>
        </w:rPr>
        <w:t>结果对相关企业进行巡查工作，避免超标排放或偷漏排的发生。</w:t>
      </w:r>
    </w:p>
    <w:p>
      <w:pPr>
        <w:pStyle w:val="67"/>
        <w:spacing w:before="120" w:after="120"/>
        <w:rPr>
          <w:szCs w:val="22"/>
          <w:lang w:eastAsia="zh-Hans"/>
        </w:rPr>
      </w:pPr>
      <w:bookmarkStart w:id="43" w:name="_Toc115277257"/>
      <w:r>
        <w:rPr>
          <w:rFonts w:hint="eastAsia"/>
          <w:szCs w:val="22"/>
          <w:lang w:eastAsia="zh-Hans"/>
        </w:rPr>
        <w:t>产治污单位</w:t>
      </w:r>
      <w:bookmarkEnd w:id="43"/>
    </w:p>
    <w:p>
      <w:pPr>
        <w:pStyle w:val="58"/>
        <w:ind w:firstLine="420"/>
        <w:rPr>
          <w:lang w:eastAsia="zh-Hans"/>
        </w:rPr>
      </w:pPr>
      <w:r>
        <w:rPr>
          <w:rFonts w:hint="eastAsia"/>
          <w:lang w:eastAsia="zh-Hans"/>
        </w:rPr>
        <w:t>应指</w:t>
      </w:r>
      <w:r>
        <w:rPr>
          <w:rFonts w:hint="eastAsia"/>
        </w:rPr>
        <w:t>企业内存在运行的产污设备和治理设备</w:t>
      </w:r>
      <w:r>
        <w:rPr>
          <w:rFonts w:hint="eastAsia"/>
          <w:lang w:eastAsia="zh-Hans"/>
        </w:rPr>
        <w:t>的</w:t>
      </w:r>
      <w:r>
        <w:rPr>
          <w:rFonts w:hint="eastAsia"/>
        </w:rPr>
        <w:t>污染源企业</w:t>
      </w:r>
      <w:r>
        <w:rPr>
          <w:rFonts w:hint="eastAsia"/>
          <w:lang w:eastAsia="zh-Hans"/>
        </w:rPr>
        <w:t>用户。</w:t>
      </w:r>
    </w:p>
    <w:p>
      <w:pPr>
        <w:pStyle w:val="58"/>
        <w:ind w:firstLine="420"/>
        <w:rPr>
          <w:lang w:eastAsia="zh-Hans"/>
        </w:rPr>
      </w:pPr>
      <w:r>
        <w:rPr>
          <w:rFonts w:hint="eastAsia"/>
          <w:lang w:eastAsia="zh-Hans"/>
        </w:rPr>
        <w:t>根据要求，专业用户应日常登陆平台查看产治污设施的能耗情况，并结合能耗对比和能耗报告发现设备可能存在的异常，应做好严密的日常防控工作。</w:t>
      </w:r>
    </w:p>
    <w:p>
      <w:pPr>
        <w:pStyle w:val="107"/>
        <w:spacing w:before="120" w:after="120"/>
      </w:pPr>
      <w:bookmarkStart w:id="44" w:name="_Toc115277258"/>
      <w:r>
        <w:rPr>
          <w:rFonts w:hint="eastAsia"/>
        </w:rPr>
        <w:t>环境感知设备</w:t>
      </w:r>
      <w:bookmarkEnd w:id="44"/>
    </w:p>
    <w:p>
      <w:pPr>
        <w:pStyle w:val="67"/>
        <w:spacing w:before="120" w:after="120"/>
        <w:rPr>
          <w:szCs w:val="22"/>
          <w:lang w:eastAsia="zh-Hans"/>
        </w:rPr>
      </w:pPr>
      <w:bookmarkStart w:id="45" w:name="_Toc115277259"/>
      <w:r>
        <w:rPr>
          <w:rFonts w:hint="eastAsia"/>
          <w:szCs w:val="22"/>
        </w:rPr>
        <w:t>感知卡</w:t>
      </w:r>
      <w:bookmarkEnd w:id="45"/>
    </w:p>
    <w:p>
      <w:pPr>
        <w:pStyle w:val="58"/>
        <w:ind w:firstLine="420"/>
        <w:rPr>
          <w:lang w:eastAsia="zh-Hans"/>
        </w:rPr>
      </w:pPr>
      <w:r>
        <w:rPr>
          <w:rFonts w:hint="eastAsia"/>
          <w:lang w:eastAsia="zh-Hans"/>
        </w:rPr>
        <w:t>系统应满足以下条件：</w:t>
      </w:r>
    </w:p>
    <w:p>
      <w:pPr>
        <w:pStyle w:val="58"/>
        <w:ind w:firstLine="420"/>
        <w:rPr>
          <w:lang w:eastAsia="zh-Hans"/>
        </w:rPr>
      </w:pPr>
      <w:r>
        <w:rPr>
          <w:rFonts w:hint="eastAsia"/>
          <w:lang w:eastAsia="zh-Hans"/>
        </w:rPr>
        <w:t>精准：高精度 MEMS 6 轴陀螺仪，100Hz 高频率取样，实时准确得获取生产设备的具体的开工情况并建模推算原材料消耗量及成品产量；</w:t>
      </w:r>
    </w:p>
    <w:p>
      <w:pPr>
        <w:pStyle w:val="58"/>
        <w:ind w:firstLine="420"/>
        <w:rPr>
          <w:lang w:eastAsia="zh-Hans"/>
        </w:rPr>
      </w:pPr>
      <w:r>
        <w:rPr>
          <w:rFonts w:hint="eastAsia"/>
          <w:lang w:eastAsia="zh-Hans"/>
        </w:rPr>
        <w:t>便利：可充电电池可持续工作三年，抗干扰长距离无线数据传输，胶粘/磁吸方式安装，便于推广安装；</w:t>
      </w:r>
    </w:p>
    <w:p>
      <w:pPr>
        <w:pStyle w:val="58"/>
        <w:ind w:firstLine="420"/>
        <w:rPr>
          <w:lang w:eastAsia="zh-Hans"/>
        </w:rPr>
      </w:pPr>
      <w:r>
        <w:rPr>
          <w:rFonts w:hint="eastAsia"/>
          <w:lang w:eastAsia="zh-Hans"/>
        </w:rPr>
        <w:t>防盗：通过姿态及位移变化进行算法判断，对强行拆除进行监视及报警；分钟级无线心跳设计，连续时间段无数据报警；</w:t>
      </w:r>
    </w:p>
    <w:p>
      <w:pPr>
        <w:pStyle w:val="58"/>
        <w:ind w:firstLine="420"/>
        <w:rPr>
          <w:lang w:eastAsia="zh-Hans"/>
        </w:rPr>
      </w:pPr>
      <w:r>
        <w:rPr>
          <w:rFonts w:hint="eastAsia"/>
          <w:lang w:eastAsia="zh-Hans"/>
        </w:rPr>
        <w:t>防伪：感知及学习生产设备开工的频域特征，联合时域周期特征进行复核校验，对于非生产设备本身产生的伪开工进行过滤鉴别。提供近实时在线监测空气中的挥发性有机物，并应包括但不限于安装在移动的监测车和常规的实验室中，无需制冷剂，提供连续的空气采样和实时在线分析。主要用于分析TO-15、PAMS及OVOCs等116种化合物。并应通过各种有线或ADSL网络通讯端口，实现现场监测数据及状态与中心服务器端的信息交互。</w:t>
      </w:r>
    </w:p>
    <w:p>
      <w:pPr>
        <w:pStyle w:val="67"/>
        <w:spacing w:before="120" w:after="120"/>
        <w:rPr>
          <w:szCs w:val="22"/>
          <w:lang w:eastAsia="zh-Hans"/>
        </w:rPr>
      </w:pPr>
      <w:bookmarkStart w:id="46" w:name="_Toc115277260"/>
      <w:r>
        <w:rPr>
          <w:rFonts w:hint="eastAsia"/>
          <w:szCs w:val="22"/>
          <w:lang w:eastAsia="zh-Hans"/>
        </w:rPr>
        <w:t>多功能电力监测仪表及信号传输仪器</w:t>
      </w:r>
      <w:bookmarkEnd w:id="46"/>
    </w:p>
    <w:p>
      <w:pPr>
        <w:pStyle w:val="58"/>
        <w:ind w:firstLine="420"/>
        <w:rPr>
          <w:lang w:eastAsia="zh-Hans"/>
        </w:rPr>
      </w:pPr>
      <w:r>
        <w:rPr>
          <w:rFonts w:hint="eastAsia"/>
          <w:lang w:eastAsia="zh-Hans"/>
        </w:rPr>
        <w:t>系统应按实际需求配置电流互感器，采集电流信号</w:t>
      </w:r>
      <w:r>
        <w:rPr>
          <w:rFonts w:hint="eastAsia"/>
        </w:rPr>
        <w:t>,应</w:t>
      </w:r>
      <w:r>
        <w:rPr>
          <w:rFonts w:hint="eastAsia"/>
          <w:lang w:eastAsia="zh-Hans"/>
        </w:rPr>
        <w:t>选用专用用电监控探测器，监控电流、电压、电能功率等综合用电信息传输至平台，并应配备专用无线数据传输模块。</w:t>
      </w:r>
    </w:p>
    <w:p>
      <w:pPr>
        <w:pStyle w:val="107"/>
        <w:spacing w:before="120" w:after="120"/>
      </w:pPr>
      <w:bookmarkStart w:id="47" w:name="_Toc115277261"/>
      <w:r>
        <w:rPr>
          <w:rFonts w:hint="eastAsia"/>
        </w:rPr>
        <w:t>系统功能</w:t>
      </w:r>
      <w:bookmarkEnd w:id="47"/>
    </w:p>
    <w:p>
      <w:pPr>
        <w:pStyle w:val="67"/>
        <w:spacing w:before="120" w:after="120"/>
        <w:rPr>
          <w:szCs w:val="22"/>
          <w:lang w:eastAsia="zh-Hans"/>
        </w:rPr>
      </w:pPr>
      <w:bookmarkStart w:id="48" w:name="_Toc115277262"/>
      <w:r>
        <w:rPr>
          <w:rFonts w:hint="eastAsia"/>
        </w:rPr>
        <w:t>基本信息管理</w:t>
      </w:r>
      <w:bookmarkEnd w:id="48"/>
    </w:p>
    <w:p>
      <w:pPr>
        <w:pStyle w:val="58"/>
        <w:ind w:firstLine="420"/>
      </w:pPr>
      <w:r>
        <w:rPr>
          <w:rFonts w:hint="eastAsia"/>
          <w:lang w:eastAsia="zh-Hans"/>
        </w:rPr>
        <w:t>应包括对平台综合显示接入被监管的企业数量，接入企业的基本信息，包括法定代表人、登记状态、成立日期、注册资本、统一社会信用代码、人员规模、企业类型、经营范围、地理位置，</w:t>
      </w:r>
      <w:r>
        <w:rPr>
          <w:rFonts w:hint="eastAsia"/>
        </w:rPr>
        <w:t>企业的产污设备基本信息，包括产污、治污设备名称、数量、地理信息等产治污设施基本信息，企业生产厂区的地理平面图，以及产污、治污设备在使用过程中的工艺流程图以及显示企业产污、治污设备当前的运行状况信息和限停产等详细信息进行台账化管理的功能。</w:t>
      </w:r>
    </w:p>
    <w:p>
      <w:pPr>
        <w:pStyle w:val="67"/>
        <w:spacing w:before="120" w:after="120"/>
        <w:rPr>
          <w:szCs w:val="22"/>
          <w:lang w:eastAsia="zh-Hans"/>
        </w:rPr>
      </w:pPr>
      <w:bookmarkStart w:id="49" w:name="_Toc115277263"/>
      <w:r>
        <w:rPr>
          <w:rFonts w:hint="eastAsia"/>
          <w:szCs w:val="22"/>
          <w:lang w:eastAsia="zh-Hans"/>
        </w:rPr>
        <w:t>数据监测管理</w:t>
      </w:r>
      <w:bookmarkEnd w:id="49"/>
    </w:p>
    <w:p>
      <w:pPr>
        <w:pStyle w:val="58"/>
        <w:ind w:firstLine="420"/>
        <w:rPr>
          <w:lang w:eastAsia="zh-Hans"/>
        </w:rPr>
      </w:pPr>
      <w:r>
        <w:rPr>
          <w:rFonts w:hint="eastAsia"/>
          <w:lang w:eastAsia="zh-Hans"/>
        </w:rPr>
        <w:t>应包括排污企业的地理位置信息、异常状态信息、产污监测点数量、治污监测点数量，以及产排污设备的运行状态、运行时间、</w:t>
      </w:r>
      <w:r>
        <w:rPr>
          <w:rFonts w:hint="eastAsia"/>
        </w:rPr>
        <w:t>电流、电压、用电功率等信息的综合展示，并应结合企业用电量数据统计出企业能耗数据情况</w:t>
      </w:r>
      <w:r>
        <w:rPr>
          <w:rFonts w:hint="eastAsia"/>
          <w:lang w:eastAsia="zh-Hans"/>
        </w:rPr>
        <w:t>。</w:t>
      </w:r>
    </w:p>
    <w:p>
      <w:pPr>
        <w:pStyle w:val="67"/>
        <w:spacing w:before="120" w:after="120"/>
        <w:rPr>
          <w:szCs w:val="22"/>
          <w:lang w:eastAsia="zh-Hans"/>
        </w:rPr>
      </w:pPr>
      <w:bookmarkStart w:id="50" w:name="_Toc115277264"/>
      <w:r>
        <w:rPr>
          <w:rFonts w:hint="eastAsia"/>
          <w:szCs w:val="22"/>
          <w:lang w:eastAsia="zh-Hans"/>
        </w:rPr>
        <w:t>告警管理</w:t>
      </w:r>
      <w:bookmarkEnd w:id="50"/>
    </w:p>
    <w:p>
      <w:pPr>
        <w:pStyle w:val="58"/>
        <w:ind w:firstLine="420"/>
        <w:rPr>
          <w:lang w:eastAsia="zh-Hans"/>
        </w:rPr>
      </w:pPr>
      <w:r>
        <w:rPr>
          <w:rFonts w:hint="eastAsia"/>
          <w:lang w:eastAsia="zh-Hans"/>
        </w:rPr>
        <w:t>应能够对企业进行告警设置，通过对用电量等告警类型进行设置并设置告警推送人员，显示对应企业已设置的告警列表，应能够增删改查操作，并且应通过关联分析、超限分析，启停时间分析等一系列分析手段，及时发现环保治理设施未开启，异常关闭及减速，空转，降频等异常情况进行实时告警。同时，应对企业各产排污设施数据指标设置阈值，一旦出现阈值越限实时向监管人员报警</w:t>
      </w:r>
    </w:p>
    <w:p>
      <w:pPr>
        <w:pStyle w:val="67"/>
        <w:spacing w:before="120" w:after="120"/>
        <w:rPr>
          <w:szCs w:val="22"/>
          <w:lang w:eastAsia="zh-Hans"/>
        </w:rPr>
      </w:pPr>
      <w:bookmarkStart w:id="51" w:name="_Toc115277265"/>
      <w:r>
        <w:rPr>
          <w:rFonts w:hint="eastAsia"/>
          <w:szCs w:val="22"/>
          <w:lang w:eastAsia="zh-Hans"/>
        </w:rPr>
        <w:t>环保限停产管理</w:t>
      </w:r>
      <w:bookmarkEnd w:id="51"/>
    </w:p>
    <w:p>
      <w:pPr>
        <w:pStyle w:val="58"/>
        <w:ind w:firstLine="420"/>
        <w:rPr>
          <w:lang w:eastAsia="zh-Hans"/>
        </w:rPr>
      </w:pPr>
      <w:r>
        <w:rPr>
          <w:rFonts w:hint="eastAsia"/>
          <w:lang w:eastAsia="zh-Hans"/>
        </w:rPr>
        <w:t>为应对重污染天气应急减排，临时性的减排调控等需求，系统应提供限产停产管理功能。应满足制定限产停产方案、设置限产停产的起止时间以及涵盖的企业、车间、生产线，针对不同的调控需求精确监控产污设施，在限产停产期间非正常开启产污设置的，系统将立即通过短信、APP进行告警的条件。</w:t>
      </w:r>
    </w:p>
    <w:p>
      <w:pPr>
        <w:pStyle w:val="67"/>
        <w:spacing w:before="120" w:after="120"/>
        <w:rPr>
          <w:szCs w:val="22"/>
          <w:lang w:eastAsia="zh-Hans"/>
        </w:rPr>
      </w:pPr>
      <w:bookmarkStart w:id="52" w:name="_Toc115277266"/>
      <w:r>
        <w:rPr>
          <w:rFonts w:hint="eastAsia"/>
          <w:szCs w:val="22"/>
          <w:lang w:eastAsia="zh-Hans"/>
        </w:rPr>
        <w:t>手机APP</w:t>
      </w:r>
      <w:bookmarkEnd w:id="52"/>
    </w:p>
    <w:p>
      <w:pPr>
        <w:pStyle w:val="58"/>
        <w:ind w:firstLine="420"/>
        <w:rPr>
          <w:lang w:eastAsia="zh-Hans"/>
        </w:rPr>
      </w:pPr>
      <w:r>
        <w:rPr>
          <w:rFonts w:hint="eastAsia"/>
        </w:rPr>
        <w:t>系统应</w:t>
      </w:r>
      <w:r>
        <w:rPr>
          <w:rFonts w:hint="eastAsia"/>
          <w:lang w:eastAsia="zh-Hans"/>
        </w:rPr>
        <w:t>支持 Android、iOS 系统 APP，方便用进行行业/企业查询、报警、故障查询，实时监控数据查询，探测器详细信息查询等功能。环保局端、企业端使用的移动 APP 权限分离，业务数据应用应和 PC 端保持一致。</w:t>
      </w:r>
    </w:p>
    <w:p>
      <w:pPr>
        <w:pStyle w:val="107"/>
        <w:spacing w:before="120" w:after="120"/>
      </w:pPr>
      <w:bookmarkStart w:id="53" w:name="_Toc115277267"/>
      <w:bookmarkStart w:id="54" w:name="_Toc1920384453"/>
      <w:r>
        <w:rPr>
          <w:rFonts w:hint="eastAsia"/>
        </w:rPr>
        <w:t>外部接口</w:t>
      </w:r>
      <w:bookmarkEnd w:id="53"/>
    </w:p>
    <w:p>
      <w:pPr>
        <w:pStyle w:val="67"/>
        <w:spacing w:before="120" w:after="120"/>
        <w:rPr>
          <w:szCs w:val="22"/>
          <w:lang w:eastAsia="zh-Hans"/>
        </w:rPr>
      </w:pPr>
      <w:bookmarkStart w:id="55" w:name="_Toc115277268"/>
      <w:bookmarkStart w:id="56" w:name="_Toc1634056154"/>
      <w:r>
        <w:rPr>
          <w:rFonts w:hint="eastAsia"/>
          <w:szCs w:val="22"/>
          <w:lang w:eastAsia="zh-Hans"/>
        </w:rPr>
        <w:t>设备电力感知数据交换</w:t>
      </w:r>
      <w:bookmarkEnd w:id="55"/>
      <w:bookmarkEnd w:id="56"/>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设备电力感知数据交换应能实现系统与其他系统之间对来自感知控制域和服务提供域的电力参数的感知数据的交互。</w:t>
      </w:r>
    </w:p>
    <w:p>
      <w:pPr>
        <w:pStyle w:val="67"/>
        <w:spacing w:before="120" w:after="120"/>
        <w:rPr>
          <w:szCs w:val="22"/>
          <w:lang w:eastAsia="zh-Hans"/>
        </w:rPr>
      </w:pPr>
      <w:bookmarkStart w:id="57" w:name="_Toc1560902442"/>
      <w:bookmarkStart w:id="58" w:name="_Toc115277269"/>
      <w:r>
        <w:rPr>
          <w:rFonts w:hint="eastAsia"/>
          <w:szCs w:val="22"/>
          <w:lang w:eastAsia="zh-Hans"/>
        </w:rPr>
        <w:t>其它数据交换</w:t>
      </w:r>
      <w:bookmarkEnd w:id="57"/>
      <w:bookmarkEnd w:id="58"/>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系统应实现与大数据平台或其它相关平台的数据交换。</w:t>
      </w:r>
    </w:p>
    <w:p>
      <w:pPr>
        <w:pStyle w:val="107"/>
        <w:spacing w:before="120" w:after="120"/>
      </w:pPr>
      <w:bookmarkStart w:id="59" w:name="_Toc115277270"/>
      <w:r>
        <w:rPr>
          <w:rFonts w:hint="eastAsia"/>
        </w:rPr>
        <w:t>系统运维</w:t>
      </w:r>
      <w:bookmarkEnd w:id="59"/>
    </w:p>
    <w:p>
      <w:pPr>
        <w:pStyle w:val="67"/>
        <w:spacing w:before="120" w:after="120"/>
        <w:rPr>
          <w:szCs w:val="22"/>
          <w:lang w:eastAsia="zh-Hans"/>
        </w:rPr>
      </w:pPr>
      <w:bookmarkStart w:id="60" w:name="_Toc1293696042"/>
      <w:bookmarkStart w:id="61" w:name="_Toc115277271"/>
      <w:r>
        <w:rPr>
          <w:rFonts w:hint="eastAsia"/>
          <w:szCs w:val="22"/>
          <w:lang w:eastAsia="zh-Hans"/>
        </w:rPr>
        <w:t>设备管理</w:t>
      </w:r>
      <w:bookmarkEnd w:id="60"/>
      <w:bookmarkEnd w:id="61"/>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系统应具备设备配置管理功能，可通过本地或远程管理，维护设备的性能和状态，包括日志记录、故障诊断、固件管理、电源管理等。</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系统的软件应能通过子系统软件模块进行升级。</w:t>
      </w:r>
    </w:p>
    <w:p>
      <w:pPr>
        <w:pStyle w:val="67"/>
        <w:spacing w:before="120" w:after="120"/>
        <w:rPr>
          <w:szCs w:val="22"/>
          <w:lang w:eastAsia="zh-Hans"/>
        </w:rPr>
      </w:pPr>
      <w:bookmarkStart w:id="62" w:name="_Toc115277272"/>
      <w:r>
        <w:rPr>
          <w:rFonts w:hint="eastAsia"/>
          <w:szCs w:val="22"/>
          <w:lang w:eastAsia="zh-Hans"/>
        </w:rPr>
        <w:t>安全管理</w:t>
      </w:r>
      <w:bookmarkEnd w:id="62"/>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系统应确保网络安全和用户的隐私和安全。</w:t>
      </w:r>
    </w:p>
    <w:p>
      <w:pPr>
        <w:numPr>
          <w:ilvl w:val="0"/>
          <w:numId w:val="33"/>
        </w:numPr>
        <w:adjustRightInd/>
        <w:spacing w:line="240" w:lineRule="auto"/>
        <w:ind w:left="840"/>
        <w:rPr>
          <w:rFonts w:ascii="Times New Roman" w:hAnsi="Times New Roman"/>
          <w:szCs w:val="24"/>
        </w:rPr>
      </w:pPr>
      <w:r>
        <w:rPr>
          <w:rFonts w:hint="eastAsia" w:ascii="Times New Roman" w:hAnsi="Times New Roman"/>
          <w:szCs w:val="24"/>
        </w:rPr>
        <w:t>禁止非法外部访问和终端访问。</w:t>
      </w:r>
    </w:p>
    <w:p>
      <w:pPr>
        <w:numPr>
          <w:ilvl w:val="0"/>
          <w:numId w:val="33"/>
        </w:numPr>
        <w:adjustRightInd/>
        <w:spacing w:line="240" w:lineRule="auto"/>
        <w:ind w:left="840"/>
        <w:rPr>
          <w:rFonts w:ascii="Times New Roman" w:hAnsi="Times New Roman"/>
          <w:szCs w:val="24"/>
        </w:rPr>
      </w:pPr>
      <w:r>
        <w:rPr>
          <w:rFonts w:hint="eastAsia" w:ascii="Times New Roman" w:hAnsi="Times New Roman"/>
          <w:szCs w:val="24"/>
        </w:rPr>
        <w:t>用户信息应具有真实性、完整性和机密性，防止任何未经授权的访问。</w:t>
      </w:r>
    </w:p>
    <w:p>
      <w:pPr>
        <w:pStyle w:val="67"/>
        <w:spacing w:before="120" w:after="120"/>
        <w:rPr>
          <w:szCs w:val="22"/>
          <w:lang w:eastAsia="zh-Hans"/>
        </w:rPr>
      </w:pPr>
      <w:bookmarkStart w:id="63" w:name="_Toc115277273"/>
      <w:r>
        <w:rPr>
          <w:rFonts w:hint="eastAsia"/>
          <w:szCs w:val="22"/>
          <w:lang w:eastAsia="zh-Hans"/>
        </w:rPr>
        <w:t>数据备份</w:t>
      </w:r>
      <w:bookmarkEnd w:id="54"/>
      <w:bookmarkEnd w:id="63"/>
    </w:p>
    <w:p>
      <w:pPr>
        <w:pStyle w:val="58"/>
        <w:ind w:firstLine="420"/>
        <w:rPr>
          <w:rFonts w:ascii="Times New Roman"/>
        </w:rPr>
      </w:pPr>
      <w:r>
        <w:rPr>
          <w:rFonts w:hint="eastAsia" w:ascii="Times New Roman"/>
        </w:rPr>
        <w:t>系统中的数据应及时备份以备出现断电等意外状况，数据应能在系统恢复后重新找回。</w:t>
      </w:r>
    </w:p>
    <w:p>
      <w:pPr>
        <w:pStyle w:val="67"/>
        <w:spacing w:before="120" w:after="120"/>
        <w:rPr>
          <w:szCs w:val="22"/>
          <w:lang w:eastAsia="zh-Hans"/>
        </w:rPr>
      </w:pPr>
      <w:bookmarkStart w:id="64" w:name="_Toc115277274"/>
      <w:bookmarkStart w:id="65" w:name="_Toc1369770808"/>
      <w:r>
        <w:rPr>
          <w:rFonts w:hint="eastAsia"/>
          <w:szCs w:val="22"/>
          <w:lang w:eastAsia="zh-Hans"/>
        </w:rPr>
        <w:t>日志记录</w:t>
      </w:r>
      <w:bookmarkEnd w:id="64"/>
      <w:bookmarkEnd w:id="65"/>
    </w:p>
    <w:p>
      <w:pPr>
        <w:pStyle w:val="58"/>
        <w:ind w:firstLine="420"/>
        <w:rPr>
          <w:lang w:eastAsia="zh-Hans"/>
        </w:rPr>
      </w:pPr>
      <w:r>
        <w:rPr>
          <w:rFonts w:hint="eastAsia"/>
          <w:szCs w:val="22"/>
          <w:lang w:eastAsia="zh-Hans"/>
        </w:rPr>
        <w:t>系统应将用户操作</w:t>
      </w:r>
      <w:r>
        <w:rPr>
          <w:szCs w:val="22"/>
          <w:lang w:eastAsia="zh-Hans"/>
        </w:rPr>
        <w:t>、</w:t>
      </w:r>
      <w:r>
        <w:rPr>
          <w:rFonts w:hint="eastAsia"/>
          <w:szCs w:val="22"/>
          <w:lang w:eastAsia="zh-Hans"/>
        </w:rPr>
        <w:t>系统维护等形成日志文件</w:t>
      </w:r>
      <w:r>
        <w:rPr>
          <w:szCs w:val="22"/>
          <w:lang w:eastAsia="zh-Hans"/>
        </w:rPr>
        <w:t>，</w:t>
      </w:r>
      <w:r>
        <w:rPr>
          <w:rFonts w:hint="eastAsia"/>
          <w:szCs w:val="22"/>
          <w:lang w:eastAsia="zh-Hans"/>
        </w:rPr>
        <w:t>支撑系统日志审计</w:t>
      </w:r>
      <w:r>
        <w:rPr>
          <w:szCs w:val="22"/>
          <w:lang w:eastAsia="zh-Hans"/>
        </w:rPr>
        <w:t>。</w:t>
      </w:r>
    </w:p>
    <w:p>
      <w:pPr>
        <w:tabs>
          <w:tab w:val="left" w:pos="420"/>
        </w:tabs>
        <w:adjustRightInd/>
        <w:spacing w:line="14" w:lineRule="exact"/>
        <w:outlineLvl w:val="0"/>
        <w:rPr>
          <w:rFonts w:ascii="Times New Roman" w:hAnsi="Times New Roman"/>
          <w:color w:val="FFFFFF"/>
          <w:szCs w:val="24"/>
        </w:rPr>
      </w:pPr>
      <w:bookmarkStart w:id="66" w:name="_Toc534991636"/>
      <w:bookmarkEnd w:id="66"/>
      <w:bookmarkStart w:id="67" w:name="_Toc17034"/>
      <w:bookmarkEnd w:id="67"/>
      <w:bookmarkStart w:id="68" w:name="_Toc61258987"/>
      <w:bookmarkEnd w:id="68"/>
      <w:bookmarkStart w:id="69" w:name="_Toc325971386"/>
      <w:bookmarkStart w:id="70" w:name="_Toc326607147"/>
      <w:bookmarkStart w:id="71" w:name="_Toc329156105"/>
      <w:bookmarkStart w:id="72" w:name="_Toc326518584"/>
      <w:bookmarkStart w:id="73" w:name="_Toc326335025"/>
      <w:bookmarkStart w:id="74" w:name="_Toc326335626"/>
      <w:bookmarkStart w:id="75" w:name="_Toc326595409"/>
      <w:bookmarkStart w:id="76" w:name="_Toc329182794"/>
      <w:bookmarkStart w:id="77" w:name="_Toc330880803"/>
      <w:bookmarkStart w:id="78" w:name="_Toc330880955"/>
      <w:bookmarkStart w:id="79" w:name="_Toc326338904"/>
    </w:p>
    <w:bookmarkEnd w:id="69"/>
    <w:bookmarkEnd w:id="70"/>
    <w:bookmarkEnd w:id="71"/>
    <w:bookmarkEnd w:id="72"/>
    <w:bookmarkEnd w:id="73"/>
    <w:bookmarkEnd w:id="74"/>
    <w:bookmarkEnd w:id="75"/>
    <w:bookmarkEnd w:id="76"/>
    <w:bookmarkEnd w:id="77"/>
    <w:bookmarkEnd w:id="78"/>
    <w:bookmarkEnd w:id="79"/>
    <w:p>
      <w:pPr>
        <w:pStyle w:val="58"/>
        <w:ind w:firstLine="0" w:firstLineChars="0"/>
      </w:pPr>
      <w:r>
        <w:tab/>
      </w:r>
    </w:p>
    <w:p>
      <w:pPr>
        <w:pStyle w:val="58"/>
        <w:ind w:firstLine="420"/>
        <w:jc w:val="center"/>
      </w:pPr>
    </w:p>
    <w:bookmarkEnd w:id="14"/>
    <w:p>
      <w:pPr>
        <w:pStyle w:val="58"/>
        <w:ind w:firstLine="0" w:firstLineChars="0"/>
        <w:jc w:val="center"/>
      </w:pPr>
      <w:bookmarkStart w:id="80"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cstate="print"/>
                    <a:stretch>
                      <a:fillRect/>
                    </a:stretch>
                  </pic:blipFill>
                  <pic:spPr>
                    <a:xfrm>
                      <a:off x="0" y="0"/>
                      <a:ext cx="1485900" cy="317500"/>
                    </a:xfrm>
                    <a:prstGeom prst="rect">
                      <a:avLst/>
                    </a:prstGeom>
                  </pic:spPr>
                </pic:pic>
              </a:graphicData>
            </a:graphic>
          </wp:inline>
        </w:drawing>
      </w:r>
      <w:bookmarkEnd w:id="80"/>
    </w:p>
    <w:sectPr>
      <w:headerReference r:id="rId19" w:type="default"/>
      <w:footerReference r:id="rId21" w:type="default"/>
      <w:headerReference r:id="rId20" w:type="even"/>
      <w:footerReference r:id="rId22"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bookmarkStart w:id="81" w:name="_GoBack"/>
    <w:bookmarkEnd w:id="8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701"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27DDF3C"/>
    <w:multiLevelType w:val="singleLevel"/>
    <w:tmpl w:val="627DDF3C"/>
    <w:lvl w:ilvl="0" w:tentative="0">
      <w:start w:val="1"/>
      <w:numFmt w:val="bullet"/>
      <w:lvlText w:val="—"/>
      <w:lvlJc w:val="left"/>
      <w:pPr>
        <w:ind w:left="420" w:hanging="420"/>
      </w:pPr>
      <w:rPr>
        <w:rFonts w:hint="default" w:ascii="Arial" w:hAnsi="Arial" w:cs="Arial"/>
      </w:r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yYWU4Mzk2Njc4MDE4MGM0YTRhYmM5Yzc2YTZhMTYifQ=="/>
  </w:docVars>
  <w:rsids>
    <w:rsidRoot w:val="00735E54"/>
    <w:rsid w:val="0000040A"/>
    <w:rsid w:val="00000A94"/>
    <w:rsid w:val="00001972"/>
    <w:rsid w:val="00001D9A"/>
    <w:rsid w:val="000057B3"/>
    <w:rsid w:val="00007B3A"/>
    <w:rsid w:val="000107E0"/>
    <w:rsid w:val="00011FDE"/>
    <w:rsid w:val="00012FFD"/>
    <w:rsid w:val="00014162"/>
    <w:rsid w:val="00014340"/>
    <w:rsid w:val="00015606"/>
    <w:rsid w:val="00016A9C"/>
    <w:rsid w:val="00020326"/>
    <w:rsid w:val="00020FC2"/>
    <w:rsid w:val="00022184"/>
    <w:rsid w:val="00022762"/>
    <w:rsid w:val="000238E0"/>
    <w:rsid w:val="000249DB"/>
    <w:rsid w:val="0002595E"/>
    <w:rsid w:val="0002668E"/>
    <w:rsid w:val="000303C3"/>
    <w:rsid w:val="000331D3"/>
    <w:rsid w:val="00034615"/>
    <w:rsid w:val="000346A5"/>
    <w:rsid w:val="000359C3"/>
    <w:rsid w:val="00035A7D"/>
    <w:rsid w:val="000365ED"/>
    <w:rsid w:val="00037412"/>
    <w:rsid w:val="0004100A"/>
    <w:rsid w:val="0004249A"/>
    <w:rsid w:val="00043282"/>
    <w:rsid w:val="00044286"/>
    <w:rsid w:val="00044DDC"/>
    <w:rsid w:val="00046F8A"/>
    <w:rsid w:val="00047F28"/>
    <w:rsid w:val="000503AA"/>
    <w:rsid w:val="000506A1"/>
    <w:rsid w:val="000515DD"/>
    <w:rsid w:val="0005265A"/>
    <w:rsid w:val="000539DD"/>
    <w:rsid w:val="00053BD3"/>
    <w:rsid w:val="000556ED"/>
    <w:rsid w:val="00055939"/>
    <w:rsid w:val="00055FE2"/>
    <w:rsid w:val="0005616F"/>
    <w:rsid w:val="00060C2E"/>
    <w:rsid w:val="00061033"/>
    <w:rsid w:val="00061221"/>
    <w:rsid w:val="000619E9"/>
    <w:rsid w:val="000622D4"/>
    <w:rsid w:val="0006357D"/>
    <w:rsid w:val="00065B3B"/>
    <w:rsid w:val="00067F1E"/>
    <w:rsid w:val="00071CC0"/>
    <w:rsid w:val="00071CFC"/>
    <w:rsid w:val="00073961"/>
    <w:rsid w:val="00073C8C"/>
    <w:rsid w:val="0007511E"/>
    <w:rsid w:val="00077B64"/>
    <w:rsid w:val="00080A1C"/>
    <w:rsid w:val="00082317"/>
    <w:rsid w:val="00083D2C"/>
    <w:rsid w:val="0008473E"/>
    <w:rsid w:val="00085F13"/>
    <w:rsid w:val="00086AA1"/>
    <w:rsid w:val="0008727B"/>
    <w:rsid w:val="00087A77"/>
    <w:rsid w:val="00090CA6"/>
    <w:rsid w:val="00092B8A"/>
    <w:rsid w:val="00092FB0"/>
    <w:rsid w:val="000934C5"/>
    <w:rsid w:val="00093D25"/>
    <w:rsid w:val="00093DAB"/>
    <w:rsid w:val="00094D73"/>
    <w:rsid w:val="00096D63"/>
    <w:rsid w:val="000A0B60"/>
    <w:rsid w:val="000A0EB8"/>
    <w:rsid w:val="000A19FC"/>
    <w:rsid w:val="000A296B"/>
    <w:rsid w:val="000A6086"/>
    <w:rsid w:val="000A7311"/>
    <w:rsid w:val="000B060F"/>
    <w:rsid w:val="000B1592"/>
    <w:rsid w:val="000B1FF2"/>
    <w:rsid w:val="000B20BC"/>
    <w:rsid w:val="000B3CDA"/>
    <w:rsid w:val="000B6A0B"/>
    <w:rsid w:val="000C0F6C"/>
    <w:rsid w:val="000C11DB"/>
    <w:rsid w:val="000C1492"/>
    <w:rsid w:val="000C2FBD"/>
    <w:rsid w:val="000C4B41"/>
    <w:rsid w:val="000C57D6"/>
    <w:rsid w:val="000C6362"/>
    <w:rsid w:val="000C7666"/>
    <w:rsid w:val="000D0A9C"/>
    <w:rsid w:val="000D0E93"/>
    <w:rsid w:val="000D1795"/>
    <w:rsid w:val="000D329A"/>
    <w:rsid w:val="000D4B9C"/>
    <w:rsid w:val="000D4EB6"/>
    <w:rsid w:val="000D5701"/>
    <w:rsid w:val="000D622A"/>
    <w:rsid w:val="000D753B"/>
    <w:rsid w:val="000D7EE6"/>
    <w:rsid w:val="000E4C9E"/>
    <w:rsid w:val="000E6FD7"/>
    <w:rsid w:val="000F06E1"/>
    <w:rsid w:val="000F0E3C"/>
    <w:rsid w:val="000F19D5"/>
    <w:rsid w:val="000F4050"/>
    <w:rsid w:val="000F4AEA"/>
    <w:rsid w:val="000F67E9"/>
    <w:rsid w:val="000F7FE6"/>
    <w:rsid w:val="0010062D"/>
    <w:rsid w:val="00104926"/>
    <w:rsid w:val="00111EE8"/>
    <w:rsid w:val="00113101"/>
    <w:rsid w:val="00113B1E"/>
    <w:rsid w:val="0011402D"/>
    <w:rsid w:val="0011711C"/>
    <w:rsid w:val="00121779"/>
    <w:rsid w:val="00124E4F"/>
    <w:rsid w:val="00124F68"/>
    <w:rsid w:val="001260B7"/>
    <w:rsid w:val="001265CB"/>
    <w:rsid w:val="001321C6"/>
    <w:rsid w:val="001325C4"/>
    <w:rsid w:val="00132FE5"/>
    <w:rsid w:val="00133010"/>
    <w:rsid w:val="001338EE"/>
    <w:rsid w:val="00133AAE"/>
    <w:rsid w:val="00135323"/>
    <w:rsid w:val="001356C4"/>
    <w:rsid w:val="00137565"/>
    <w:rsid w:val="00137F61"/>
    <w:rsid w:val="00141114"/>
    <w:rsid w:val="001419E8"/>
    <w:rsid w:val="00142969"/>
    <w:rsid w:val="001446C2"/>
    <w:rsid w:val="001457E7"/>
    <w:rsid w:val="00145D9D"/>
    <w:rsid w:val="00146388"/>
    <w:rsid w:val="001465A2"/>
    <w:rsid w:val="001529E5"/>
    <w:rsid w:val="00152FB3"/>
    <w:rsid w:val="00153C7E"/>
    <w:rsid w:val="001552E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055"/>
    <w:rsid w:val="00171D6E"/>
    <w:rsid w:val="0017340B"/>
    <w:rsid w:val="00173FB1"/>
    <w:rsid w:val="00176DFD"/>
    <w:rsid w:val="00183C8A"/>
    <w:rsid w:val="001852C9"/>
    <w:rsid w:val="00187A0B"/>
    <w:rsid w:val="00190087"/>
    <w:rsid w:val="001913C4"/>
    <w:rsid w:val="0019348F"/>
    <w:rsid w:val="00193A07"/>
    <w:rsid w:val="00193ECD"/>
    <w:rsid w:val="00194C95"/>
    <w:rsid w:val="00195C34"/>
    <w:rsid w:val="00196EF5"/>
    <w:rsid w:val="001A1A53"/>
    <w:rsid w:val="001A234A"/>
    <w:rsid w:val="001A4CF3"/>
    <w:rsid w:val="001A6696"/>
    <w:rsid w:val="001B068C"/>
    <w:rsid w:val="001B06E8"/>
    <w:rsid w:val="001B71D0"/>
    <w:rsid w:val="001B71EE"/>
    <w:rsid w:val="001C04A8"/>
    <w:rsid w:val="001C0F5B"/>
    <w:rsid w:val="001C2C03"/>
    <w:rsid w:val="001C42F7"/>
    <w:rsid w:val="001C49E5"/>
    <w:rsid w:val="001C680C"/>
    <w:rsid w:val="001C7FEA"/>
    <w:rsid w:val="001D0499"/>
    <w:rsid w:val="001D0BBE"/>
    <w:rsid w:val="001D0ED4"/>
    <w:rsid w:val="001D1552"/>
    <w:rsid w:val="001D212F"/>
    <w:rsid w:val="001D29D7"/>
    <w:rsid w:val="001D2DE7"/>
    <w:rsid w:val="001D411C"/>
    <w:rsid w:val="001E1B6A"/>
    <w:rsid w:val="001E2484"/>
    <w:rsid w:val="001E3CC4"/>
    <w:rsid w:val="001E4882"/>
    <w:rsid w:val="001E73AB"/>
    <w:rsid w:val="001F092D"/>
    <w:rsid w:val="001F143A"/>
    <w:rsid w:val="001F1605"/>
    <w:rsid w:val="001F1666"/>
    <w:rsid w:val="001F1A33"/>
    <w:rsid w:val="001F2508"/>
    <w:rsid w:val="001F4816"/>
    <w:rsid w:val="001F48F4"/>
    <w:rsid w:val="001F69B4"/>
    <w:rsid w:val="001F77C7"/>
    <w:rsid w:val="00200183"/>
    <w:rsid w:val="00200333"/>
    <w:rsid w:val="0020107D"/>
    <w:rsid w:val="00202AA4"/>
    <w:rsid w:val="002031F7"/>
    <w:rsid w:val="002040E6"/>
    <w:rsid w:val="0020527B"/>
    <w:rsid w:val="00205F2C"/>
    <w:rsid w:val="00210B15"/>
    <w:rsid w:val="002142EA"/>
    <w:rsid w:val="00215ADD"/>
    <w:rsid w:val="002170DF"/>
    <w:rsid w:val="002204BB"/>
    <w:rsid w:val="00221B79"/>
    <w:rsid w:val="00221C6B"/>
    <w:rsid w:val="002253A1"/>
    <w:rsid w:val="00225CF8"/>
    <w:rsid w:val="0022794E"/>
    <w:rsid w:val="00231A26"/>
    <w:rsid w:val="0023239E"/>
    <w:rsid w:val="00233D64"/>
    <w:rsid w:val="0023482A"/>
    <w:rsid w:val="00234D62"/>
    <w:rsid w:val="002359CB"/>
    <w:rsid w:val="00243540"/>
    <w:rsid w:val="0024497B"/>
    <w:rsid w:val="0024515B"/>
    <w:rsid w:val="00246021"/>
    <w:rsid w:val="0024666E"/>
    <w:rsid w:val="00247474"/>
    <w:rsid w:val="00247F52"/>
    <w:rsid w:val="00250B25"/>
    <w:rsid w:val="00250BBE"/>
    <w:rsid w:val="002515C2"/>
    <w:rsid w:val="0025194F"/>
    <w:rsid w:val="0026148A"/>
    <w:rsid w:val="00262696"/>
    <w:rsid w:val="00263D25"/>
    <w:rsid w:val="002643C3"/>
    <w:rsid w:val="00264A0C"/>
    <w:rsid w:val="00265F8E"/>
    <w:rsid w:val="00266EEB"/>
    <w:rsid w:val="00267EF4"/>
    <w:rsid w:val="00270CB8"/>
    <w:rsid w:val="00272B08"/>
    <w:rsid w:val="0028020C"/>
    <w:rsid w:val="0028137E"/>
    <w:rsid w:val="00281BB8"/>
    <w:rsid w:val="00281E9E"/>
    <w:rsid w:val="00282405"/>
    <w:rsid w:val="00285170"/>
    <w:rsid w:val="00285361"/>
    <w:rsid w:val="00287367"/>
    <w:rsid w:val="00292D60"/>
    <w:rsid w:val="00293B30"/>
    <w:rsid w:val="00294C38"/>
    <w:rsid w:val="00294D34"/>
    <w:rsid w:val="00294E3B"/>
    <w:rsid w:val="00295457"/>
    <w:rsid w:val="00296193"/>
    <w:rsid w:val="0029633E"/>
    <w:rsid w:val="00296C66"/>
    <w:rsid w:val="00296EBE"/>
    <w:rsid w:val="002974E3"/>
    <w:rsid w:val="002A028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3AE"/>
    <w:rsid w:val="002D06C1"/>
    <w:rsid w:val="002D09BF"/>
    <w:rsid w:val="002D42B5"/>
    <w:rsid w:val="002D4F1A"/>
    <w:rsid w:val="002D6EC6"/>
    <w:rsid w:val="002D79AC"/>
    <w:rsid w:val="002E039D"/>
    <w:rsid w:val="002E1683"/>
    <w:rsid w:val="002E2575"/>
    <w:rsid w:val="002E4D5A"/>
    <w:rsid w:val="002E5727"/>
    <w:rsid w:val="002E6326"/>
    <w:rsid w:val="002E641F"/>
    <w:rsid w:val="002F30E0"/>
    <w:rsid w:val="002F35E4"/>
    <w:rsid w:val="002F3730"/>
    <w:rsid w:val="002F38E1"/>
    <w:rsid w:val="002F6E55"/>
    <w:rsid w:val="002F743A"/>
    <w:rsid w:val="002F79C7"/>
    <w:rsid w:val="002F7AF6"/>
    <w:rsid w:val="00300E63"/>
    <w:rsid w:val="003029F0"/>
    <w:rsid w:val="00302F5F"/>
    <w:rsid w:val="0030441D"/>
    <w:rsid w:val="00306063"/>
    <w:rsid w:val="00307F23"/>
    <w:rsid w:val="003123E6"/>
    <w:rsid w:val="00313B85"/>
    <w:rsid w:val="0031402E"/>
    <w:rsid w:val="003151AF"/>
    <w:rsid w:val="00317988"/>
    <w:rsid w:val="003221B4"/>
    <w:rsid w:val="0032258D"/>
    <w:rsid w:val="00322E62"/>
    <w:rsid w:val="00324D13"/>
    <w:rsid w:val="00324EDD"/>
    <w:rsid w:val="003318A3"/>
    <w:rsid w:val="003331E4"/>
    <w:rsid w:val="00336C64"/>
    <w:rsid w:val="00337162"/>
    <w:rsid w:val="00337E84"/>
    <w:rsid w:val="0034194F"/>
    <w:rsid w:val="00344605"/>
    <w:rsid w:val="003465E7"/>
    <w:rsid w:val="003474AA"/>
    <w:rsid w:val="00350D1D"/>
    <w:rsid w:val="00352C83"/>
    <w:rsid w:val="00352F1A"/>
    <w:rsid w:val="00360D9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E3"/>
    <w:rsid w:val="00387ADC"/>
    <w:rsid w:val="00390020"/>
    <w:rsid w:val="003900DE"/>
    <w:rsid w:val="003903D6"/>
    <w:rsid w:val="00390EE6"/>
    <w:rsid w:val="0039118F"/>
    <w:rsid w:val="003914CC"/>
    <w:rsid w:val="00392AD7"/>
    <w:rsid w:val="003938D9"/>
    <w:rsid w:val="00394376"/>
    <w:rsid w:val="003943FF"/>
    <w:rsid w:val="003974EB"/>
    <w:rsid w:val="00397CC5"/>
    <w:rsid w:val="003A1582"/>
    <w:rsid w:val="003A3D9C"/>
    <w:rsid w:val="003A4077"/>
    <w:rsid w:val="003A4AA7"/>
    <w:rsid w:val="003A54A5"/>
    <w:rsid w:val="003B09AD"/>
    <w:rsid w:val="003B1F18"/>
    <w:rsid w:val="003B5BF0"/>
    <w:rsid w:val="003B60BF"/>
    <w:rsid w:val="003B6BE3"/>
    <w:rsid w:val="003C010C"/>
    <w:rsid w:val="003C0A6C"/>
    <w:rsid w:val="003C14F8"/>
    <w:rsid w:val="003C4DDA"/>
    <w:rsid w:val="003C5A43"/>
    <w:rsid w:val="003D0519"/>
    <w:rsid w:val="003D0FF6"/>
    <w:rsid w:val="003D20FB"/>
    <w:rsid w:val="003D262C"/>
    <w:rsid w:val="003D3111"/>
    <w:rsid w:val="003D3FC0"/>
    <w:rsid w:val="003D6D61"/>
    <w:rsid w:val="003E091D"/>
    <w:rsid w:val="003E1C53"/>
    <w:rsid w:val="003E2155"/>
    <w:rsid w:val="003E2A69"/>
    <w:rsid w:val="003E2D49"/>
    <w:rsid w:val="003E2FD4"/>
    <w:rsid w:val="003E486B"/>
    <w:rsid w:val="003E49F6"/>
    <w:rsid w:val="003E660F"/>
    <w:rsid w:val="003F0841"/>
    <w:rsid w:val="003F20DD"/>
    <w:rsid w:val="003F23D3"/>
    <w:rsid w:val="003F3F08"/>
    <w:rsid w:val="003F49F1"/>
    <w:rsid w:val="003F6272"/>
    <w:rsid w:val="003F6D0B"/>
    <w:rsid w:val="00400E72"/>
    <w:rsid w:val="00401400"/>
    <w:rsid w:val="00404869"/>
    <w:rsid w:val="00405884"/>
    <w:rsid w:val="00407D39"/>
    <w:rsid w:val="004131A7"/>
    <w:rsid w:val="0041477A"/>
    <w:rsid w:val="004167A3"/>
    <w:rsid w:val="00421712"/>
    <w:rsid w:val="00432DAA"/>
    <w:rsid w:val="00434305"/>
    <w:rsid w:val="00435DF7"/>
    <w:rsid w:val="0044083F"/>
    <w:rsid w:val="00441AE7"/>
    <w:rsid w:val="00445574"/>
    <w:rsid w:val="00446273"/>
    <w:rsid w:val="004467FB"/>
    <w:rsid w:val="00447346"/>
    <w:rsid w:val="00450BF3"/>
    <w:rsid w:val="00452D6B"/>
    <w:rsid w:val="00454484"/>
    <w:rsid w:val="0045517B"/>
    <w:rsid w:val="004627F0"/>
    <w:rsid w:val="00463B77"/>
    <w:rsid w:val="00463C7B"/>
    <w:rsid w:val="004644A6"/>
    <w:rsid w:val="004644C4"/>
    <w:rsid w:val="004659BD"/>
    <w:rsid w:val="00470775"/>
    <w:rsid w:val="004724B6"/>
    <w:rsid w:val="00473C0B"/>
    <w:rsid w:val="004746B1"/>
    <w:rsid w:val="0047583F"/>
    <w:rsid w:val="00475DE8"/>
    <w:rsid w:val="00481C44"/>
    <w:rsid w:val="00484936"/>
    <w:rsid w:val="00485C89"/>
    <w:rsid w:val="00486BE3"/>
    <w:rsid w:val="004905E4"/>
    <w:rsid w:val="00490A89"/>
    <w:rsid w:val="00490AB4"/>
    <w:rsid w:val="00492626"/>
    <w:rsid w:val="00492F02"/>
    <w:rsid w:val="004939AE"/>
    <w:rsid w:val="00494523"/>
    <w:rsid w:val="00496327"/>
    <w:rsid w:val="00497606"/>
    <w:rsid w:val="004A12DF"/>
    <w:rsid w:val="004A1BA8"/>
    <w:rsid w:val="004A276A"/>
    <w:rsid w:val="004A4B57"/>
    <w:rsid w:val="004A63FA"/>
    <w:rsid w:val="004A6A3D"/>
    <w:rsid w:val="004B0272"/>
    <w:rsid w:val="004B2701"/>
    <w:rsid w:val="004B2E1B"/>
    <w:rsid w:val="004B3AA8"/>
    <w:rsid w:val="004B3E93"/>
    <w:rsid w:val="004C1FBC"/>
    <w:rsid w:val="004C25A2"/>
    <w:rsid w:val="004C3591"/>
    <w:rsid w:val="004C3F1D"/>
    <w:rsid w:val="004C458D"/>
    <w:rsid w:val="004C7556"/>
    <w:rsid w:val="004C7E8B"/>
    <w:rsid w:val="004C7E9D"/>
    <w:rsid w:val="004C7F67"/>
    <w:rsid w:val="004D076D"/>
    <w:rsid w:val="004D0A78"/>
    <w:rsid w:val="004D0EF1"/>
    <w:rsid w:val="004D2253"/>
    <w:rsid w:val="004D4406"/>
    <w:rsid w:val="004D7C42"/>
    <w:rsid w:val="004E0465"/>
    <w:rsid w:val="004E0C87"/>
    <w:rsid w:val="004E127B"/>
    <w:rsid w:val="004E1C0A"/>
    <w:rsid w:val="004E30C5"/>
    <w:rsid w:val="004E39B7"/>
    <w:rsid w:val="004E3BA0"/>
    <w:rsid w:val="004E4AA5"/>
    <w:rsid w:val="004E4AEE"/>
    <w:rsid w:val="004E59E3"/>
    <w:rsid w:val="004E67C0"/>
    <w:rsid w:val="004F391A"/>
    <w:rsid w:val="004F3CFB"/>
    <w:rsid w:val="004F5EFD"/>
    <w:rsid w:val="004F6456"/>
    <w:rsid w:val="004F696E"/>
    <w:rsid w:val="004F6C71"/>
    <w:rsid w:val="00501139"/>
    <w:rsid w:val="0050363E"/>
    <w:rsid w:val="005039BC"/>
    <w:rsid w:val="005043BB"/>
    <w:rsid w:val="00504A3D"/>
    <w:rsid w:val="00505767"/>
    <w:rsid w:val="0050681E"/>
    <w:rsid w:val="005073F0"/>
    <w:rsid w:val="00510A7B"/>
    <w:rsid w:val="00512F6E"/>
    <w:rsid w:val="00513038"/>
    <w:rsid w:val="00514174"/>
    <w:rsid w:val="00516088"/>
    <w:rsid w:val="00516B0B"/>
    <w:rsid w:val="005220EC"/>
    <w:rsid w:val="00523F95"/>
    <w:rsid w:val="00524D65"/>
    <w:rsid w:val="00525B16"/>
    <w:rsid w:val="00530512"/>
    <w:rsid w:val="00533D04"/>
    <w:rsid w:val="00534804"/>
    <w:rsid w:val="00534BDF"/>
    <w:rsid w:val="005354EA"/>
    <w:rsid w:val="0053585F"/>
    <w:rsid w:val="00535EC4"/>
    <w:rsid w:val="00535ED9"/>
    <w:rsid w:val="0053692B"/>
    <w:rsid w:val="00541853"/>
    <w:rsid w:val="0054397D"/>
    <w:rsid w:val="00543BDA"/>
    <w:rsid w:val="005441CC"/>
    <w:rsid w:val="005479DA"/>
    <w:rsid w:val="00547BCC"/>
    <w:rsid w:val="0055013B"/>
    <w:rsid w:val="00551F6F"/>
    <w:rsid w:val="00553ACE"/>
    <w:rsid w:val="00553BDE"/>
    <w:rsid w:val="00555044"/>
    <w:rsid w:val="00561475"/>
    <w:rsid w:val="00562308"/>
    <w:rsid w:val="0056487B"/>
    <w:rsid w:val="00564FB9"/>
    <w:rsid w:val="00571AE8"/>
    <w:rsid w:val="005738CF"/>
    <w:rsid w:val="00573D9E"/>
    <w:rsid w:val="005801E3"/>
    <w:rsid w:val="00581802"/>
    <w:rsid w:val="005836A8"/>
    <w:rsid w:val="0058409C"/>
    <w:rsid w:val="00584262"/>
    <w:rsid w:val="00584C09"/>
    <w:rsid w:val="00586630"/>
    <w:rsid w:val="00587ADD"/>
    <w:rsid w:val="00593A49"/>
    <w:rsid w:val="005959ED"/>
    <w:rsid w:val="00596160"/>
    <w:rsid w:val="005966E2"/>
    <w:rsid w:val="00597007"/>
    <w:rsid w:val="005A0966"/>
    <w:rsid w:val="005A11B7"/>
    <w:rsid w:val="005A260B"/>
    <w:rsid w:val="005A262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C5C"/>
    <w:rsid w:val="005D4171"/>
    <w:rsid w:val="005D6A95"/>
    <w:rsid w:val="005D6B2C"/>
    <w:rsid w:val="005D6D9C"/>
    <w:rsid w:val="005E2335"/>
    <w:rsid w:val="005E34CA"/>
    <w:rsid w:val="005E3C18"/>
    <w:rsid w:val="005E3D0A"/>
    <w:rsid w:val="005E4250"/>
    <w:rsid w:val="005E6812"/>
    <w:rsid w:val="005E7881"/>
    <w:rsid w:val="005E78E0"/>
    <w:rsid w:val="005F0D9C"/>
    <w:rsid w:val="005F284E"/>
    <w:rsid w:val="006015CE"/>
    <w:rsid w:val="0060453D"/>
    <w:rsid w:val="00604784"/>
    <w:rsid w:val="00606419"/>
    <w:rsid w:val="00607D29"/>
    <w:rsid w:val="00612952"/>
    <w:rsid w:val="00614CC1"/>
    <w:rsid w:val="00615A9D"/>
    <w:rsid w:val="00617387"/>
    <w:rsid w:val="006205D6"/>
    <w:rsid w:val="00621080"/>
    <w:rsid w:val="006252D8"/>
    <w:rsid w:val="006259BC"/>
    <w:rsid w:val="0062636B"/>
    <w:rsid w:val="00632182"/>
    <w:rsid w:val="00632AE0"/>
    <w:rsid w:val="00633C17"/>
    <w:rsid w:val="00634D9E"/>
    <w:rsid w:val="00636E3E"/>
    <w:rsid w:val="0063760F"/>
    <w:rsid w:val="006379F7"/>
    <w:rsid w:val="00637E4D"/>
    <w:rsid w:val="00640620"/>
    <w:rsid w:val="00641A1F"/>
    <w:rsid w:val="00645904"/>
    <w:rsid w:val="00651ACB"/>
    <w:rsid w:val="00651C47"/>
    <w:rsid w:val="00652AB2"/>
    <w:rsid w:val="00653FED"/>
    <w:rsid w:val="00654EC0"/>
    <w:rsid w:val="0065525B"/>
    <w:rsid w:val="00655D4F"/>
    <w:rsid w:val="00656D29"/>
    <w:rsid w:val="00661B9E"/>
    <w:rsid w:val="006628EB"/>
    <w:rsid w:val="006640E5"/>
    <w:rsid w:val="006646F1"/>
    <w:rsid w:val="00664929"/>
    <w:rsid w:val="00664F62"/>
    <w:rsid w:val="006655E1"/>
    <w:rsid w:val="00672060"/>
    <w:rsid w:val="00672BFD"/>
    <w:rsid w:val="006770F4"/>
    <w:rsid w:val="00677A84"/>
    <w:rsid w:val="0068026D"/>
    <w:rsid w:val="00680A27"/>
    <w:rsid w:val="006816A4"/>
    <w:rsid w:val="006819B8"/>
    <w:rsid w:val="006838BE"/>
    <w:rsid w:val="006840A6"/>
    <w:rsid w:val="006850CD"/>
    <w:rsid w:val="00685AAB"/>
    <w:rsid w:val="0069698D"/>
    <w:rsid w:val="006A07AA"/>
    <w:rsid w:val="006A25E5"/>
    <w:rsid w:val="006A2B46"/>
    <w:rsid w:val="006A336D"/>
    <w:rsid w:val="006A37B9"/>
    <w:rsid w:val="006B2672"/>
    <w:rsid w:val="006B3251"/>
    <w:rsid w:val="006B54BF"/>
    <w:rsid w:val="006B5F44"/>
    <w:rsid w:val="006B5F90"/>
    <w:rsid w:val="006B62E4"/>
    <w:rsid w:val="006B6AE0"/>
    <w:rsid w:val="006C008E"/>
    <w:rsid w:val="006C1BBA"/>
    <w:rsid w:val="006C2079"/>
    <w:rsid w:val="006C29B9"/>
    <w:rsid w:val="006C5A62"/>
    <w:rsid w:val="006C5D68"/>
    <w:rsid w:val="006C6976"/>
    <w:rsid w:val="006C6DD0"/>
    <w:rsid w:val="006D04EA"/>
    <w:rsid w:val="006D16C4"/>
    <w:rsid w:val="006D3E96"/>
    <w:rsid w:val="006D4515"/>
    <w:rsid w:val="006D4BB1"/>
    <w:rsid w:val="006D6593"/>
    <w:rsid w:val="006E7148"/>
    <w:rsid w:val="006E7FA3"/>
    <w:rsid w:val="006F03A8"/>
    <w:rsid w:val="006F2ACA"/>
    <w:rsid w:val="006F2ADC"/>
    <w:rsid w:val="006F2BFE"/>
    <w:rsid w:val="006F31E9"/>
    <w:rsid w:val="006F6284"/>
    <w:rsid w:val="007002C5"/>
    <w:rsid w:val="00701594"/>
    <w:rsid w:val="00704387"/>
    <w:rsid w:val="0070757A"/>
    <w:rsid w:val="00707669"/>
    <w:rsid w:val="0071171C"/>
    <w:rsid w:val="00711CBA"/>
    <w:rsid w:val="00711FB5"/>
    <w:rsid w:val="00712A01"/>
    <w:rsid w:val="00714F58"/>
    <w:rsid w:val="00722FBF"/>
    <w:rsid w:val="00722FC2"/>
    <w:rsid w:val="00724E1B"/>
    <w:rsid w:val="0072513B"/>
    <w:rsid w:val="00725949"/>
    <w:rsid w:val="00725BA0"/>
    <w:rsid w:val="00727FA2"/>
    <w:rsid w:val="00730192"/>
    <w:rsid w:val="007322D9"/>
    <w:rsid w:val="00732BC0"/>
    <w:rsid w:val="00735E54"/>
    <w:rsid w:val="0073720F"/>
    <w:rsid w:val="00737796"/>
    <w:rsid w:val="0074165C"/>
    <w:rsid w:val="00742C35"/>
    <w:rsid w:val="007432CA"/>
    <w:rsid w:val="007439EB"/>
    <w:rsid w:val="00743CB4"/>
    <w:rsid w:val="00743F0A"/>
    <w:rsid w:val="007444E8"/>
    <w:rsid w:val="00744E78"/>
    <w:rsid w:val="0074548E"/>
    <w:rsid w:val="00745773"/>
    <w:rsid w:val="00746800"/>
    <w:rsid w:val="007478AF"/>
    <w:rsid w:val="00750107"/>
    <w:rsid w:val="007501A8"/>
    <w:rsid w:val="00750D61"/>
    <w:rsid w:val="00750EE1"/>
    <w:rsid w:val="00752B4D"/>
    <w:rsid w:val="00755402"/>
    <w:rsid w:val="00756B26"/>
    <w:rsid w:val="00756EDF"/>
    <w:rsid w:val="00757CBE"/>
    <w:rsid w:val="007600E3"/>
    <w:rsid w:val="00764737"/>
    <w:rsid w:val="00765C43"/>
    <w:rsid w:val="00765EFB"/>
    <w:rsid w:val="00767124"/>
    <w:rsid w:val="007671CA"/>
    <w:rsid w:val="00767C61"/>
    <w:rsid w:val="0077008A"/>
    <w:rsid w:val="007709BA"/>
    <w:rsid w:val="007715EC"/>
    <w:rsid w:val="00773C1F"/>
    <w:rsid w:val="00774DA4"/>
    <w:rsid w:val="00776599"/>
    <w:rsid w:val="007772D1"/>
    <w:rsid w:val="0078114B"/>
    <w:rsid w:val="00781DD2"/>
    <w:rsid w:val="00783281"/>
    <w:rsid w:val="00783ECF"/>
    <w:rsid w:val="0078413A"/>
    <w:rsid w:val="0079595A"/>
    <w:rsid w:val="007959E8"/>
    <w:rsid w:val="00795E9C"/>
    <w:rsid w:val="007A0521"/>
    <w:rsid w:val="007A2E12"/>
    <w:rsid w:val="007A3475"/>
    <w:rsid w:val="007A41C8"/>
    <w:rsid w:val="007A54CE"/>
    <w:rsid w:val="007A6FD9"/>
    <w:rsid w:val="007A7FFA"/>
    <w:rsid w:val="007B04EB"/>
    <w:rsid w:val="007B0D4F"/>
    <w:rsid w:val="007B2EE4"/>
    <w:rsid w:val="007B5A3D"/>
    <w:rsid w:val="007B5B95"/>
    <w:rsid w:val="007B6032"/>
    <w:rsid w:val="007B68EA"/>
    <w:rsid w:val="007B7453"/>
    <w:rsid w:val="007C2D89"/>
    <w:rsid w:val="007C4593"/>
    <w:rsid w:val="007C5309"/>
    <w:rsid w:val="007C6069"/>
    <w:rsid w:val="007C7959"/>
    <w:rsid w:val="007D06C4"/>
    <w:rsid w:val="007D1352"/>
    <w:rsid w:val="007D2508"/>
    <w:rsid w:val="007D346A"/>
    <w:rsid w:val="007D6518"/>
    <w:rsid w:val="007D76BD"/>
    <w:rsid w:val="007E0BF1"/>
    <w:rsid w:val="007E3EB3"/>
    <w:rsid w:val="007F0ED8"/>
    <w:rsid w:val="007F0F63"/>
    <w:rsid w:val="007F5A7F"/>
    <w:rsid w:val="007F75CE"/>
    <w:rsid w:val="008013A4"/>
    <w:rsid w:val="008027CE"/>
    <w:rsid w:val="00802F42"/>
    <w:rsid w:val="00804383"/>
    <w:rsid w:val="00804BB7"/>
    <w:rsid w:val="00804D41"/>
    <w:rsid w:val="00810257"/>
    <w:rsid w:val="008104F5"/>
    <w:rsid w:val="00811072"/>
    <w:rsid w:val="00811369"/>
    <w:rsid w:val="00815165"/>
    <w:rsid w:val="00815419"/>
    <w:rsid w:val="00815543"/>
    <w:rsid w:val="008163C8"/>
    <w:rsid w:val="008164A1"/>
    <w:rsid w:val="00816D3F"/>
    <w:rsid w:val="00817325"/>
    <w:rsid w:val="008209E6"/>
    <w:rsid w:val="0082269D"/>
    <w:rsid w:val="00822EAB"/>
    <w:rsid w:val="00823303"/>
    <w:rsid w:val="008233B2"/>
    <w:rsid w:val="00823A9F"/>
    <w:rsid w:val="00823C85"/>
    <w:rsid w:val="00825138"/>
    <w:rsid w:val="008269DD"/>
    <w:rsid w:val="00830621"/>
    <w:rsid w:val="00832FB4"/>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463F"/>
    <w:rsid w:val="00883F93"/>
    <w:rsid w:val="00884DB3"/>
    <w:rsid w:val="00885A9D"/>
    <w:rsid w:val="008864F6"/>
    <w:rsid w:val="0089049D"/>
    <w:rsid w:val="008928C9"/>
    <w:rsid w:val="008930CB"/>
    <w:rsid w:val="008938DC"/>
    <w:rsid w:val="00893FD1"/>
    <w:rsid w:val="00894836"/>
    <w:rsid w:val="00894BB0"/>
    <w:rsid w:val="00895172"/>
    <w:rsid w:val="00895680"/>
    <w:rsid w:val="00896DFF"/>
    <w:rsid w:val="0089762C"/>
    <w:rsid w:val="008A173B"/>
    <w:rsid w:val="008A1893"/>
    <w:rsid w:val="008A3B05"/>
    <w:rsid w:val="008A57E6"/>
    <w:rsid w:val="008A6F81"/>
    <w:rsid w:val="008A769A"/>
    <w:rsid w:val="008B0343"/>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6D0"/>
    <w:rsid w:val="008E6A84"/>
    <w:rsid w:val="008F0CDC"/>
    <w:rsid w:val="008F17A3"/>
    <w:rsid w:val="008F1ED3"/>
    <w:rsid w:val="008F214F"/>
    <w:rsid w:val="008F4C29"/>
    <w:rsid w:val="008F70BD"/>
    <w:rsid w:val="008F788F"/>
    <w:rsid w:val="008F7EA2"/>
    <w:rsid w:val="00900438"/>
    <w:rsid w:val="00902722"/>
    <w:rsid w:val="009027BC"/>
    <w:rsid w:val="009062E6"/>
    <w:rsid w:val="00911BE5"/>
    <w:rsid w:val="0091206B"/>
    <w:rsid w:val="00913CA9"/>
    <w:rsid w:val="009145AE"/>
    <w:rsid w:val="009146CE"/>
    <w:rsid w:val="00914CA7"/>
    <w:rsid w:val="00915C3E"/>
    <w:rsid w:val="009161A8"/>
    <w:rsid w:val="00916A7F"/>
    <w:rsid w:val="009245AE"/>
    <w:rsid w:val="009245F5"/>
    <w:rsid w:val="009249EC"/>
    <w:rsid w:val="009273B3"/>
    <w:rsid w:val="009305B5"/>
    <w:rsid w:val="00934A4E"/>
    <w:rsid w:val="009378DD"/>
    <w:rsid w:val="009429D5"/>
    <w:rsid w:val="00942BF1"/>
    <w:rsid w:val="00945180"/>
    <w:rsid w:val="00945428"/>
    <w:rsid w:val="0094607B"/>
    <w:rsid w:val="00946938"/>
    <w:rsid w:val="0095122F"/>
    <w:rsid w:val="00953604"/>
    <w:rsid w:val="0095496B"/>
    <w:rsid w:val="00955589"/>
    <w:rsid w:val="00956251"/>
    <w:rsid w:val="00956F38"/>
    <w:rsid w:val="00960F1E"/>
    <w:rsid w:val="009610DC"/>
    <w:rsid w:val="00961490"/>
    <w:rsid w:val="0096381A"/>
    <w:rsid w:val="00963C55"/>
    <w:rsid w:val="00965E04"/>
    <w:rsid w:val="009674AD"/>
    <w:rsid w:val="00970CDC"/>
    <w:rsid w:val="00972C1B"/>
    <w:rsid w:val="00975727"/>
    <w:rsid w:val="00976A96"/>
    <w:rsid w:val="00977010"/>
    <w:rsid w:val="00977844"/>
    <w:rsid w:val="009778B3"/>
    <w:rsid w:val="00977D02"/>
    <w:rsid w:val="00977FF9"/>
    <w:rsid w:val="009809BB"/>
    <w:rsid w:val="0098364B"/>
    <w:rsid w:val="009846B7"/>
    <w:rsid w:val="00985324"/>
    <w:rsid w:val="00985DBE"/>
    <w:rsid w:val="009867FA"/>
    <w:rsid w:val="009911AF"/>
    <w:rsid w:val="00991875"/>
    <w:rsid w:val="00991F92"/>
    <w:rsid w:val="00992985"/>
    <w:rsid w:val="00993889"/>
    <w:rsid w:val="0099551B"/>
    <w:rsid w:val="00996BD2"/>
    <w:rsid w:val="00997A38"/>
    <w:rsid w:val="00997BF1"/>
    <w:rsid w:val="009A05F3"/>
    <w:rsid w:val="009A089C"/>
    <w:rsid w:val="009A118E"/>
    <w:rsid w:val="009A21CD"/>
    <w:rsid w:val="009A278C"/>
    <w:rsid w:val="009A2BC2"/>
    <w:rsid w:val="009A368F"/>
    <w:rsid w:val="009A3719"/>
    <w:rsid w:val="009A3B88"/>
    <w:rsid w:val="009A42C1"/>
    <w:rsid w:val="009A5429"/>
    <w:rsid w:val="009A72AD"/>
    <w:rsid w:val="009B09E0"/>
    <w:rsid w:val="009B0BC5"/>
    <w:rsid w:val="009B1247"/>
    <w:rsid w:val="009B503E"/>
    <w:rsid w:val="009B6029"/>
    <w:rsid w:val="009B6971"/>
    <w:rsid w:val="009C27F1"/>
    <w:rsid w:val="009C2A41"/>
    <w:rsid w:val="009C3152"/>
    <w:rsid w:val="009C3257"/>
    <w:rsid w:val="009C4CFA"/>
    <w:rsid w:val="009C5070"/>
    <w:rsid w:val="009D112C"/>
    <w:rsid w:val="009D1385"/>
    <w:rsid w:val="009D47FA"/>
    <w:rsid w:val="009D4C5B"/>
    <w:rsid w:val="009D50D2"/>
    <w:rsid w:val="009D6BCA"/>
    <w:rsid w:val="009E0279"/>
    <w:rsid w:val="009E0F62"/>
    <w:rsid w:val="009E4A58"/>
    <w:rsid w:val="009E4A78"/>
    <w:rsid w:val="009E5A2D"/>
    <w:rsid w:val="009E5AB2"/>
    <w:rsid w:val="009E6219"/>
    <w:rsid w:val="009F03B3"/>
    <w:rsid w:val="009F1396"/>
    <w:rsid w:val="009F7F43"/>
    <w:rsid w:val="00A0096C"/>
    <w:rsid w:val="00A01757"/>
    <w:rsid w:val="00A028C0"/>
    <w:rsid w:val="00A02BAE"/>
    <w:rsid w:val="00A0332F"/>
    <w:rsid w:val="00A04917"/>
    <w:rsid w:val="00A06A6B"/>
    <w:rsid w:val="00A07E47"/>
    <w:rsid w:val="00A103D3"/>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BE3"/>
    <w:rsid w:val="00A55BD6"/>
    <w:rsid w:val="00A55D50"/>
    <w:rsid w:val="00A57142"/>
    <w:rsid w:val="00A648CD"/>
    <w:rsid w:val="00A6537A"/>
    <w:rsid w:val="00A67866"/>
    <w:rsid w:val="00A70B07"/>
    <w:rsid w:val="00A723F8"/>
    <w:rsid w:val="00A727A1"/>
    <w:rsid w:val="00A7332D"/>
    <w:rsid w:val="00A77CCB"/>
    <w:rsid w:val="00A8196F"/>
    <w:rsid w:val="00A83D8D"/>
    <w:rsid w:val="00A8446B"/>
    <w:rsid w:val="00A8473F"/>
    <w:rsid w:val="00A84AE2"/>
    <w:rsid w:val="00A85A81"/>
    <w:rsid w:val="00A862D6"/>
    <w:rsid w:val="00A8715E"/>
    <w:rsid w:val="00A9295B"/>
    <w:rsid w:val="00A92D1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512"/>
    <w:rsid w:val="00AC0319"/>
    <w:rsid w:val="00AC27A6"/>
    <w:rsid w:val="00AC30F7"/>
    <w:rsid w:val="00AC3A5A"/>
    <w:rsid w:val="00AC4D95"/>
    <w:rsid w:val="00AC52A0"/>
    <w:rsid w:val="00AC5DF4"/>
    <w:rsid w:val="00AD0AEF"/>
    <w:rsid w:val="00AD11B7"/>
    <w:rsid w:val="00AD13F1"/>
    <w:rsid w:val="00AD1543"/>
    <w:rsid w:val="00AD1A94"/>
    <w:rsid w:val="00AD1C05"/>
    <w:rsid w:val="00AD4126"/>
    <w:rsid w:val="00AD421C"/>
    <w:rsid w:val="00AD44FA"/>
    <w:rsid w:val="00AE070A"/>
    <w:rsid w:val="00AE101C"/>
    <w:rsid w:val="00AE2A69"/>
    <w:rsid w:val="00AE37E5"/>
    <w:rsid w:val="00AE5EB4"/>
    <w:rsid w:val="00AF0C18"/>
    <w:rsid w:val="00AF47C5"/>
    <w:rsid w:val="00AF5398"/>
    <w:rsid w:val="00B04370"/>
    <w:rsid w:val="00B049AF"/>
    <w:rsid w:val="00B052A1"/>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2D5"/>
    <w:rsid w:val="00B42120"/>
    <w:rsid w:val="00B4346D"/>
    <w:rsid w:val="00B440F4"/>
    <w:rsid w:val="00B447A5"/>
    <w:rsid w:val="00B4654C"/>
    <w:rsid w:val="00B47293"/>
    <w:rsid w:val="00B50E50"/>
    <w:rsid w:val="00B5160E"/>
    <w:rsid w:val="00B52120"/>
    <w:rsid w:val="00B5220D"/>
    <w:rsid w:val="00B54ABC"/>
    <w:rsid w:val="00B56FBE"/>
    <w:rsid w:val="00B60ACF"/>
    <w:rsid w:val="00B62B58"/>
    <w:rsid w:val="00B644EE"/>
    <w:rsid w:val="00B65149"/>
    <w:rsid w:val="00B66567"/>
    <w:rsid w:val="00B66F52"/>
    <w:rsid w:val="00B66FE5"/>
    <w:rsid w:val="00B72880"/>
    <w:rsid w:val="00B758BF"/>
    <w:rsid w:val="00B7609C"/>
    <w:rsid w:val="00B76444"/>
    <w:rsid w:val="00B77EC8"/>
    <w:rsid w:val="00B81105"/>
    <w:rsid w:val="00B827A6"/>
    <w:rsid w:val="00B831CE"/>
    <w:rsid w:val="00B86677"/>
    <w:rsid w:val="00B87131"/>
    <w:rsid w:val="00B93023"/>
    <w:rsid w:val="00B939B1"/>
    <w:rsid w:val="00B940C9"/>
    <w:rsid w:val="00B96D40"/>
    <w:rsid w:val="00B97386"/>
    <w:rsid w:val="00B973F0"/>
    <w:rsid w:val="00BA263B"/>
    <w:rsid w:val="00BA42B2"/>
    <w:rsid w:val="00BA54E9"/>
    <w:rsid w:val="00BA58D4"/>
    <w:rsid w:val="00BA5B9E"/>
    <w:rsid w:val="00BA7C9A"/>
    <w:rsid w:val="00BB02C5"/>
    <w:rsid w:val="00BB5F8F"/>
    <w:rsid w:val="00BB657A"/>
    <w:rsid w:val="00BC1A4E"/>
    <w:rsid w:val="00BC1CD2"/>
    <w:rsid w:val="00BC5DC7"/>
    <w:rsid w:val="00BC6B8B"/>
    <w:rsid w:val="00BC73D8"/>
    <w:rsid w:val="00BC7C2E"/>
    <w:rsid w:val="00BC7D89"/>
    <w:rsid w:val="00BD52D7"/>
    <w:rsid w:val="00BD5AD2"/>
    <w:rsid w:val="00BE1FCE"/>
    <w:rsid w:val="00BE22F3"/>
    <w:rsid w:val="00BE5B52"/>
    <w:rsid w:val="00BE7B8D"/>
    <w:rsid w:val="00BF0993"/>
    <w:rsid w:val="00BF10A9"/>
    <w:rsid w:val="00BF1703"/>
    <w:rsid w:val="00BF231C"/>
    <w:rsid w:val="00BF2E9C"/>
    <w:rsid w:val="00BF51E5"/>
    <w:rsid w:val="00BF74A6"/>
    <w:rsid w:val="00C013AD"/>
    <w:rsid w:val="00C04904"/>
    <w:rsid w:val="00C056B3"/>
    <w:rsid w:val="00C103E5"/>
    <w:rsid w:val="00C13319"/>
    <w:rsid w:val="00C13EE9"/>
    <w:rsid w:val="00C20288"/>
    <w:rsid w:val="00C21540"/>
    <w:rsid w:val="00C21906"/>
    <w:rsid w:val="00C21BFA"/>
    <w:rsid w:val="00C23B4E"/>
    <w:rsid w:val="00C24C8D"/>
    <w:rsid w:val="00C25FE2"/>
    <w:rsid w:val="00C26B53"/>
    <w:rsid w:val="00C279B2"/>
    <w:rsid w:val="00C33D93"/>
    <w:rsid w:val="00C33E50"/>
    <w:rsid w:val="00C34C20"/>
    <w:rsid w:val="00C35A3E"/>
    <w:rsid w:val="00C42130"/>
    <w:rsid w:val="00C423A4"/>
    <w:rsid w:val="00C423E3"/>
    <w:rsid w:val="00C4487C"/>
    <w:rsid w:val="00C44BF5"/>
    <w:rsid w:val="00C46214"/>
    <w:rsid w:val="00C47162"/>
    <w:rsid w:val="00C521D6"/>
    <w:rsid w:val="00C55232"/>
    <w:rsid w:val="00C553A4"/>
    <w:rsid w:val="00C55A06"/>
    <w:rsid w:val="00C55D03"/>
    <w:rsid w:val="00C601BC"/>
    <w:rsid w:val="00C60CC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6F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CD7"/>
    <w:rsid w:val="00CD2808"/>
    <w:rsid w:val="00CD28BF"/>
    <w:rsid w:val="00CD4092"/>
    <w:rsid w:val="00CD4A20"/>
    <w:rsid w:val="00CD50A1"/>
    <w:rsid w:val="00CD519E"/>
    <w:rsid w:val="00CE0C4F"/>
    <w:rsid w:val="00CE30A8"/>
    <w:rsid w:val="00CE30EA"/>
    <w:rsid w:val="00CF048A"/>
    <w:rsid w:val="00CF155A"/>
    <w:rsid w:val="00CF2947"/>
    <w:rsid w:val="00CF2E46"/>
    <w:rsid w:val="00CF686F"/>
    <w:rsid w:val="00CF6E60"/>
    <w:rsid w:val="00CF76CB"/>
    <w:rsid w:val="00CF7BCA"/>
    <w:rsid w:val="00D008FD"/>
    <w:rsid w:val="00D01BEF"/>
    <w:rsid w:val="00D0321C"/>
    <w:rsid w:val="00D035EC"/>
    <w:rsid w:val="00D04D8F"/>
    <w:rsid w:val="00D06AB1"/>
    <w:rsid w:val="00D06FC1"/>
    <w:rsid w:val="00D072ED"/>
    <w:rsid w:val="00D07A16"/>
    <w:rsid w:val="00D1067E"/>
    <w:rsid w:val="00D10F50"/>
    <w:rsid w:val="00D11272"/>
    <w:rsid w:val="00D126F5"/>
    <w:rsid w:val="00D1489E"/>
    <w:rsid w:val="00D15FDC"/>
    <w:rsid w:val="00D20737"/>
    <w:rsid w:val="00D21E81"/>
    <w:rsid w:val="00D223DE"/>
    <w:rsid w:val="00D22A82"/>
    <w:rsid w:val="00D25E37"/>
    <w:rsid w:val="00D2661A"/>
    <w:rsid w:val="00D27582"/>
    <w:rsid w:val="00D27EC4"/>
    <w:rsid w:val="00D32719"/>
    <w:rsid w:val="00D33333"/>
    <w:rsid w:val="00D352A2"/>
    <w:rsid w:val="00D37620"/>
    <w:rsid w:val="00D4162B"/>
    <w:rsid w:val="00D4514F"/>
    <w:rsid w:val="00D451A1"/>
    <w:rsid w:val="00D451E2"/>
    <w:rsid w:val="00D45E89"/>
    <w:rsid w:val="00D45E8D"/>
    <w:rsid w:val="00D466AE"/>
    <w:rsid w:val="00D4734F"/>
    <w:rsid w:val="00D51BF3"/>
    <w:rsid w:val="00D54B91"/>
    <w:rsid w:val="00D6104D"/>
    <w:rsid w:val="00D61801"/>
    <w:rsid w:val="00D66846"/>
    <w:rsid w:val="00D675FB"/>
    <w:rsid w:val="00D71F25"/>
    <w:rsid w:val="00D72A9C"/>
    <w:rsid w:val="00D7307F"/>
    <w:rsid w:val="00D75C27"/>
    <w:rsid w:val="00D77031"/>
    <w:rsid w:val="00D828D9"/>
    <w:rsid w:val="00D84941"/>
    <w:rsid w:val="00D84FA1"/>
    <w:rsid w:val="00D851F0"/>
    <w:rsid w:val="00D86DB7"/>
    <w:rsid w:val="00D90721"/>
    <w:rsid w:val="00D91489"/>
    <w:rsid w:val="00D926D0"/>
    <w:rsid w:val="00D93030"/>
    <w:rsid w:val="00D950E1"/>
    <w:rsid w:val="00D952A6"/>
    <w:rsid w:val="00D97F99"/>
    <w:rsid w:val="00DA1E08"/>
    <w:rsid w:val="00DA24F8"/>
    <w:rsid w:val="00DA28E8"/>
    <w:rsid w:val="00DA38D3"/>
    <w:rsid w:val="00DA3932"/>
    <w:rsid w:val="00DA3AFC"/>
    <w:rsid w:val="00DA3C82"/>
    <w:rsid w:val="00DA64F8"/>
    <w:rsid w:val="00DA6C15"/>
    <w:rsid w:val="00DB0258"/>
    <w:rsid w:val="00DB38EE"/>
    <w:rsid w:val="00DB498B"/>
    <w:rsid w:val="00DB66CA"/>
    <w:rsid w:val="00DB6BCA"/>
    <w:rsid w:val="00DB6F54"/>
    <w:rsid w:val="00DB73D1"/>
    <w:rsid w:val="00DB73F7"/>
    <w:rsid w:val="00DC0321"/>
    <w:rsid w:val="00DC3067"/>
    <w:rsid w:val="00DC370B"/>
    <w:rsid w:val="00DC5B90"/>
    <w:rsid w:val="00DD00FF"/>
    <w:rsid w:val="00DD0619"/>
    <w:rsid w:val="00DD07FB"/>
    <w:rsid w:val="00DD25C6"/>
    <w:rsid w:val="00DD4FE5"/>
    <w:rsid w:val="00DD54B0"/>
    <w:rsid w:val="00DD57EE"/>
    <w:rsid w:val="00DD6BCC"/>
    <w:rsid w:val="00DD7AE9"/>
    <w:rsid w:val="00DE0A4B"/>
    <w:rsid w:val="00DE2410"/>
    <w:rsid w:val="00DE2939"/>
    <w:rsid w:val="00DE44A2"/>
    <w:rsid w:val="00DE6E81"/>
    <w:rsid w:val="00DE703F"/>
    <w:rsid w:val="00DE7595"/>
    <w:rsid w:val="00DF05F2"/>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876"/>
    <w:rsid w:val="00E3137A"/>
    <w:rsid w:val="00E32CCF"/>
    <w:rsid w:val="00E32EA0"/>
    <w:rsid w:val="00E34A98"/>
    <w:rsid w:val="00E35D1E"/>
    <w:rsid w:val="00E364F9"/>
    <w:rsid w:val="00E365FA"/>
    <w:rsid w:val="00E36789"/>
    <w:rsid w:val="00E44A83"/>
    <w:rsid w:val="00E502C1"/>
    <w:rsid w:val="00E502DD"/>
    <w:rsid w:val="00E50D3A"/>
    <w:rsid w:val="00E5135D"/>
    <w:rsid w:val="00E51387"/>
    <w:rsid w:val="00E51E68"/>
    <w:rsid w:val="00E527BD"/>
    <w:rsid w:val="00E52EFD"/>
    <w:rsid w:val="00E5408A"/>
    <w:rsid w:val="00E56800"/>
    <w:rsid w:val="00E60C63"/>
    <w:rsid w:val="00E62FF9"/>
    <w:rsid w:val="00E635D6"/>
    <w:rsid w:val="00E639BC"/>
    <w:rsid w:val="00E64BA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5AA4"/>
    <w:rsid w:val="00EA61BC"/>
    <w:rsid w:val="00EA681A"/>
    <w:rsid w:val="00EA69C3"/>
    <w:rsid w:val="00EA735B"/>
    <w:rsid w:val="00EB1E69"/>
    <w:rsid w:val="00EB2086"/>
    <w:rsid w:val="00EB31ED"/>
    <w:rsid w:val="00EB5EDF"/>
    <w:rsid w:val="00EB60FE"/>
    <w:rsid w:val="00EB74DB"/>
    <w:rsid w:val="00EC3A88"/>
    <w:rsid w:val="00EC5359"/>
    <w:rsid w:val="00EC562A"/>
    <w:rsid w:val="00ED05A5"/>
    <w:rsid w:val="00ED067A"/>
    <w:rsid w:val="00ED2B50"/>
    <w:rsid w:val="00EE0350"/>
    <w:rsid w:val="00EE0719"/>
    <w:rsid w:val="00EE0E80"/>
    <w:rsid w:val="00EE613F"/>
    <w:rsid w:val="00EE6AA0"/>
    <w:rsid w:val="00EE7295"/>
    <w:rsid w:val="00EE7869"/>
    <w:rsid w:val="00EF054A"/>
    <w:rsid w:val="00EF3235"/>
    <w:rsid w:val="00EF35DA"/>
    <w:rsid w:val="00EF56D6"/>
    <w:rsid w:val="00EF5A12"/>
    <w:rsid w:val="00EF7E72"/>
    <w:rsid w:val="00F06D37"/>
    <w:rsid w:val="00F07B9D"/>
    <w:rsid w:val="00F11586"/>
    <w:rsid w:val="00F1183B"/>
    <w:rsid w:val="00F11C9F"/>
    <w:rsid w:val="00F12263"/>
    <w:rsid w:val="00F1409D"/>
    <w:rsid w:val="00F14214"/>
    <w:rsid w:val="00F157A9"/>
    <w:rsid w:val="00F16F00"/>
    <w:rsid w:val="00F23AC5"/>
    <w:rsid w:val="00F25BB6"/>
    <w:rsid w:val="00F26B7E"/>
    <w:rsid w:val="00F27A3B"/>
    <w:rsid w:val="00F33817"/>
    <w:rsid w:val="00F378D0"/>
    <w:rsid w:val="00F40778"/>
    <w:rsid w:val="00F420D5"/>
    <w:rsid w:val="00F44ED8"/>
    <w:rsid w:val="00F451EA"/>
    <w:rsid w:val="00F45447"/>
    <w:rsid w:val="00F456C6"/>
    <w:rsid w:val="00F4577B"/>
    <w:rsid w:val="00F46496"/>
    <w:rsid w:val="00F474D0"/>
    <w:rsid w:val="00F50179"/>
    <w:rsid w:val="00F515EE"/>
    <w:rsid w:val="00F56511"/>
    <w:rsid w:val="00F57267"/>
    <w:rsid w:val="00F579F8"/>
    <w:rsid w:val="00F57D41"/>
    <w:rsid w:val="00F6194E"/>
    <w:rsid w:val="00F61952"/>
    <w:rsid w:val="00F623AC"/>
    <w:rsid w:val="00F6412A"/>
    <w:rsid w:val="00F65893"/>
    <w:rsid w:val="00F66A4A"/>
    <w:rsid w:val="00F71E22"/>
    <w:rsid w:val="00F71E52"/>
    <w:rsid w:val="00F72142"/>
    <w:rsid w:val="00F72AE7"/>
    <w:rsid w:val="00F75240"/>
    <w:rsid w:val="00F833BA"/>
    <w:rsid w:val="00F84FD0"/>
    <w:rsid w:val="00F859A8"/>
    <w:rsid w:val="00F86D87"/>
    <w:rsid w:val="00F9108B"/>
    <w:rsid w:val="00F91349"/>
    <w:rsid w:val="00F91CCB"/>
    <w:rsid w:val="00F93A8A"/>
    <w:rsid w:val="00F95248"/>
    <w:rsid w:val="00F956A9"/>
    <w:rsid w:val="00F963ED"/>
    <w:rsid w:val="00F966CF"/>
    <w:rsid w:val="00F96CAE"/>
    <w:rsid w:val="00F97C99"/>
    <w:rsid w:val="00FA2DB1"/>
    <w:rsid w:val="00FA662D"/>
    <w:rsid w:val="00FA73B1"/>
    <w:rsid w:val="00FB022A"/>
    <w:rsid w:val="00FB0CB9"/>
    <w:rsid w:val="00FB1A6D"/>
    <w:rsid w:val="00FB231D"/>
    <w:rsid w:val="00FB45F1"/>
    <w:rsid w:val="00FB4A72"/>
    <w:rsid w:val="00FB54E8"/>
    <w:rsid w:val="00FB7054"/>
    <w:rsid w:val="00FC16E1"/>
    <w:rsid w:val="00FC17B7"/>
    <w:rsid w:val="00FC2CB7"/>
    <w:rsid w:val="00FC4090"/>
    <w:rsid w:val="00FC55B4"/>
    <w:rsid w:val="00FD00E6"/>
    <w:rsid w:val="00FD09A1"/>
    <w:rsid w:val="00FD2A7C"/>
    <w:rsid w:val="00FD59EB"/>
    <w:rsid w:val="00FD6BFC"/>
    <w:rsid w:val="00FD7299"/>
    <w:rsid w:val="00FE1FBE"/>
    <w:rsid w:val="00FE3901"/>
    <w:rsid w:val="00FE39D3"/>
    <w:rsid w:val="00FE4BCE"/>
    <w:rsid w:val="00FE54AE"/>
    <w:rsid w:val="00FE576A"/>
    <w:rsid w:val="00FE5F02"/>
    <w:rsid w:val="00FE7E79"/>
    <w:rsid w:val="00FF1005"/>
    <w:rsid w:val="00FF3B66"/>
    <w:rsid w:val="00FF3E7D"/>
    <w:rsid w:val="00FF5B99"/>
    <w:rsid w:val="00FF730C"/>
    <w:rsid w:val="00FF73F4"/>
    <w:rsid w:val="00FF7CE4"/>
    <w:rsid w:val="00FF7E39"/>
    <w:rsid w:val="1D1F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Document Map"/>
    <w:basedOn w:val="1"/>
    <w:link w:val="232"/>
    <w:semiHidden/>
    <w:unhideWhenUsed/>
    <w:qFormat/>
    <w:uiPriority w:val="99"/>
    <w:rPr>
      <w:rFonts w:ascii="宋体"/>
      <w:sz w:val="18"/>
      <w:szCs w:val="18"/>
    </w:rPr>
  </w:style>
  <w:style w:type="paragraph" w:styleId="15">
    <w:name w:val="Body Text"/>
    <w:basedOn w:val="1"/>
    <w:link w:val="88"/>
    <w:qFormat/>
    <w:uiPriority w:val="0"/>
    <w:pPr>
      <w:spacing w:after="120"/>
    </w:pPr>
  </w:style>
  <w:style w:type="paragraph" w:styleId="16">
    <w:name w:val="toc 5"/>
    <w:basedOn w:val="1"/>
    <w:next w:val="1"/>
    <w:unhideWhenUsed/>
    <w:uiPriority w:val="39"/>
    <w:pPr>
      <w:ind w:left="839"/>
    </w:pPr>
    <w:rPr>
      <w:rFonts w:ascii="宋体"/>
    </w:rPr>
  </w:style>
  <w:style w:type="paragraph" w:styleId="17">
    <w:name w:val="toc 3"/>
    <w:basedOn w:val="1"/>
    <w:next w:val="1"/>
    <w:unhideWhenUsed/>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uiPriority w:val="39"/>
    <w:rPr>
      <w:rFonts w:ascii="宋体"/>
    </w:rPr>
  </w:style>
  <w:style w:type="paragraph" w:styleId="22">
    <w:name w:val="toc 4"/>
    <w:basedOn w:val="1"/>
    <w:next w:val="1"/>
    <w:unhideWhenUsed/>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unhideWhenUsed/>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20"/>
    <w:qFormat/>
    <w:uiPriority w:val="99"/>
    <w:rPr>
      <w:rFonts w:ascii="Times New Roman" w:hAnsi="Times New Roman" w:eastAsia="宋体" w:cs="Times New Roman"/>
      <w:sz w:val="18"/>
      <w:szCs w:val="18"/>
    </w:rPr>
  </w:style>
  <w:style w:type="character" w:customStyle="1" w:styleId="46">
    <w:name w:val="页脚 字符"/>
    <w:link w:val="19"/>
    <w:qFormat/>
    <w:uiPriority w:val="99"/>
    <w:rPr>
      <w:rFonts w:ascii="宋体" w:hAnsi="Times New Roman" w:eastAsia="宋体" w:cs="Times New Roman"/>
      <w:sz w:val="18"/>
      <w:szCs w:val="18"/>
    </w:rPr>
  </w:style>
  <w:style w:type="character" w:customStyle="1" w:styleId="47">
    <w:name w:val="批注框文本 字符"/>
    <w:link w:val="18"/>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5"/>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hAnsi="Times New Roman" w:eastAsia="宋体" w:cs="Times New Roman"/>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uiPriority w:val="0"/>
    <w:pPr>
      <w:spacing w:line="240" w:lineRule="auto"/>
    </w:pPr>
    <w:rPr>
      <w:rFonts w:ascii="宋体" w:hAnsi="宋体"/>
      <w:iCs/>
    </w:rPr>
  </w:style>
  <w:style w:type="paragraph" w:customStyle="1" w:styleId="146">
    <w:name w:val="目录 41"/>
    <w:basedOn w:val="1"/>
    <w:next w:val="1"/>
    <w:semiHidden/>
    <w:uiPriority w:val="0"/>
    <w:pPr>
      <w:adjustRightInd/>
      <w:spacing w:line="240" w:lineRule="auto"/>
      <w:jc w:val="left"/>
    </w:pPr>
  </w:style>
  <w:style w:type="paragraph" w:customStyle="1" w:styleId="147">
    <w:name w:val="目录 51"/>
    <w:basedOn w:val="1"/>
    <w:next w:val="1"/>
    <w:semiHidden/>
    <w:uiPriority w:val="0"/>
    <w:pPr>
      <w:spacing w:line="240" w:lineRule="auto"/>
    </w:pPr>
    <w:rPr>
      <w:rFonts w:ascii="宋体" w:hAnsi="宋体"/>
    </w:rPr>
  </w:style>
  <w:style w:type="paragraph" w:customStyle="1" w:styleId="148">
    <w:name w:val="目录 61"/>
    <w:basedOn w:val="1"/>
    <w:next w:val="1"/>
    <w:semiHidden/>
    <w:uiPriority w:val="0"/>
    <w:pPr>
      <w:adjustRightInd/>
      <w:spacing w:line="240" w:lineRule="auto"/>
      <w:jc w:val="left"/>
    </w:pPr>
  </w:style>
  <w:style w:type="paragraph" w:customStyle="1" w:styleId="149">
    <w:name w:val="目录 71"/>
    <w:basedOn w:val="148"/>
    <w:semiHidden/>
    <w:uiPriority w:val="0"/>
    <w:pPr>
      <w:ind w:left="1260"/>
    </w:pPr>
  </w:style>
  <w:style w:type="paragraph" w:customStyle="1" w:styleId="150">
    <w:name w:val="目录 81"/>
    <w:basedOn w:val="149"/>
    <w:semiHidden/>
    <w:uiPriority w:val="0"/>
    <w:pPr>
      <w:ind w:left="1470"/>
    </w:pPr>
  </w:style>
  <w:style w:type="paragraph" w:customStyle="1" w:styleId="151">
    <w:name w:val="目录 91"/>
    <w:basedOn w:val="150"/>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numPr>
        <w:ilvl w:val="4"/>
        <w:numId w:val="20"/>
      </w:num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character" w:customStyle="1" w:styleId="232">
    <w:name w:val="文档结构图 字符"/>
    <w:basedOn w:val="30"/>
    <w:link w:val="14"/>
    <w:semiHidden/>
    <w:uiPriority w:val="99"/>
    <w:rPr>
      <w:rFonts w:ascii="宋体"/>
      <w:kern w:val="2"/>
      <w:sz w:val="18"/>
      <w:szCs w:val="18"/>
    </w:rPr>
  </w:style>
  <w:style w:type="character" w:customStyle="1" w:styleId="233">
    <w:name w:val="段 Char"/>
    <w:link w:val="234"/>
    <w:locked/>
    <w:uiPriority w:val="0"/>
    <w:rPr>
      <w:rFonts w:ascii="宋体" w:hAnsi="宋体"/>
      <w:sz w:val="21"/>
    </w:rPr>
  </w:style>
  <w:style w:type="paragraph" w:customStyle="1" w:styleId="234">
    <w:name w:val="段"/>
    <w:link w:val="233"/>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5">
    <w:name w:val="一级条标题"/>
    <w:next w:val="1"/>
    <w:uiPriority w:val="0"/>
    <w:pPr>
      <w:numPr>
        <w:ilvl w:val="1"/>
        <w:numId w:val="32"/>
      </w:numPr>
      <w:spacing w:beforeLines="50"/>
      <w:ind w:left="852"/>
      <w:outlineLvl w:val="2"/>
    </w:pPr>
    <w:rPr>
      <w:rFonts w:ascii="黑体" w:hAnsi="Times New Roman" w:eastAsia="黑体" w:cs="Times New Roman"/>
      <w:sz w:val="21"/>
      <w:szCs w:val="21"/>
      <w:lang w:val="en-US" w:eastAsia="zh-CN" w:bidi="ar-SA"/>
    </w:rPr>
  </w:style>
  <w:style w:type="paragraph" w:customStyle="1" w:styleId="236">
    <w:name w:val="章标题"/>
    <w:next w:val="1"/>
    <w:uiPriority w:val="0"/>
    <w:pPr>
      <w:numPr>
        <w:ilvl w:val="0"/>
        <w:numId w:val="32"/>
      </w:numPr>
      <w:spacing w:before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1"/>
    <w:uiPriority w:val="0"/>
    <w:pPr>
      <w:numPr>
        <w:ilvl w:val="2"/>
      </w:numPr>
      <w:spacing w:afterLines="50"/>
      <w:outlineLvl w:val="3"/>
    </w:pPr>
  </w:style>
  <w:style w:type="paragraph" w:customStyle="1" w:styleId="238">
    <w:name w:val="四级条标题"/>
    <w:basedOn w:val="1"/>
    <w:next w:val="1"/>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9">
    <w:name w:val="五级条标题"/>
    <w:basedOn w:val="238"/>
    <w:next w:val="1"/>
    <w:uiPriority w:val="0"/>
    <w:pPr>
      <w:numPr>
        <w:ilvl w:val="5"/>
      </w:numPr>
      <w:outlineLvl w:val="6"/>
    </w:pPr>
  </w:style>
  <w:style w:type="paragraph" w:styleId="2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5D0AF4DD634E3CA741384D6A2FB88B"/>
        <w:style w:val=""/>
        <w:category>
          <w:name w:val="常规"/>
          <w:gallery w:val="placeholder"/>
        </w:category>
        <w:types>
          <w:type w:val="bbPlcHdr"/>
        </w:types>
        <w:behaviors>
          <w:behavior w:val="content"/>
        </w:behaviors>
        <w:description w:val=""/>
        <w:guid w:val="{5AE06653-3EA5-4C62-90BA-C5807A070A96}"/>
      </w:docPartPr>
      <w:docPartBody>
        <w:p>
          <w:pPr>
            <w:pStyle w:val="5"/>
          </w:pPr>
          <w:r>
            <w:rPr>
              <w:rStyle w:val="4"/>
              <w:rFonts w:hint="eastAsia"/>
            </w:rPr>
            <w:t>单击或点击此处输入文字。</w:t>
          </w:r>
        </w:p>
      </w:docPartBody>
    </w:docPart>
    <w:docPart>
      <w:docPartPr>
        <w:name w:val="87D869D6BB0D4578A52C2CAA0A120BB9"/>
        <w:style w:val=""/>
        <w:category>
          <w:name w:val="常规"/>
          <w:gallery w:val="placeholder"/>
        </w:category>
        <w:types>
          <w:type w:val="bbPlcHdr"/>
        </w:types>
        <w:behaviors>
          <w:behavior w:val="content"/>
        </w:behaviors>
        <w:description w:val=""/>
        <w:guid w:val="{BC958640-D667-4904-8141-C7FED30F1BEF}"/>
      </w:docPartPr>
      <w:docPartBody>
        <w:p>
          <w:pPr>
            <w:pStyle w:val="6"/>
          </w:pPr>
          <w:r>
            <w:rPr>
              <w:rStyle w:val="4"/>
              <w:rFonts w:hint="eastAsia"/>
            </w:rPr>
            <w:t>选择一项。</w:t>
          </w:r>
        </w:p>
      </w:docPartBody>
    </w:docPart>
    <w:docPart>
      <w:docPartPr>
        <w:name w:val="9BCDCFE7743243B5A540BF1D7031A83E"/>
        <w:style w:val=""/>
        <w:category>
          <w:name w:val="常规"/>
          <w:gallery w:val="placeholder"/>
        </w:category>
        <w:types>
          <w:type w:val="bbPlcHdr"/>
        </w:types>
        <w:behaviors>
          <w:behavior w:val="content"/>
        </w:behaviors>
        <w:description w:val=""/>
        <w:guid w:val="{F927748D-F493-4593-8C45-884C433D5D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4D8"/>
    <w:rsid w:val="00007697"/>
    <w:rsid w:val="0002029E"/>
    <w:rsid w:val="0004046A"/>
    <w:rsid w:val="00066B1D"/>
    <w:rsid w:val="002420C5"/>
    <w:rsid w:val="00361620"/>
    <w:rsid w:val="003E36F8"/>
    <w:rsid w:val="00427A10"/>
    <w:rsid w:val="004624B5"/>
    <w:rsid w:val="00496CB0"/>
    <w:rsid w:val="004B402E"/>
    <w:rsid w:val="00583706"/>
    <w:rsid w:val="005D7875"/>
    <w:rsid w:val="006520BA"/>
    <w:rsid w:val="006742A9"/>
    <w:rsid w:val="006C4D0A"/>
    <w:rsid w:val="008140AA"/>
    <w:rsid w:val="00851929"/>
    <w:rsid w:val="00885DC2"/>
    <w:rsid w:val="009B73DB"/>
    <w:rsid w:val="009E74D8"/>
    <w:rsid w:val="00BC07F4"/>
    <w:rsid w:val="00CA4082"/>
    <w:rsid w:val="00E15496"/>
    <w:rsid w:val="00E7587C"/>
    <w:rsid w:val="00F0654E"/>
    <w:rsid w:val="00FB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35D0AF4DD634E3CA741384D6A2FB8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D869D6BB0D4578A52C2CAA0A120B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CDCFE7743243B5A540BF1D7031A83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85C25-6876-4489-A4FF-0B54BD8BCD3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3299</Words>
  <Characters>3852</Characters>
  <Lines>43</Lines>
  <Paragraphs>12</Paragraphs>
  <TotalTime>2844</TotalTime>
  <ScaleCrop>false</ScaleCrop>
  <LinksUpToDate>false</LinksUpToDate>
  <CharactersWithSpaces>4011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2021-04-20T09:48:00Z</dcterms:created>
  <dc:creator>Administrator</dc:creator>
  <dc:description>&lt;config cover="true" show_menu="true" version="1.0.0" doctype="SDKXY"&gt;_x000d_
&lt;/config&gt;</dc:description>
  <cp:lastModifiedBy>水娃1373527812</cp:lastModifiedBy>
  <cp:lastPrinted>2021-04-20T09:48:00Z</cp:lastPrinted>
  <dcterms:modified xsi:type="dcterms:W3CDTF">2022-11-19T09:37:51Z</dcterms:modified>
  <dc:title>团体标准</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2052-11.1.0.12763</vt:lpwstr>
  </property>
  <property fmtid="{D5CDD505-2E9C-101B-9397-08002B2CF9AE}" pid="16" name="ICV">
    <vt:lpwstr>B19B21B861F44994A4C3076488EE5AF1</vt:lpwstr>
  </property>
</Properties>
</file>