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220" w:lineRule="atLeast"/>
        <w:rPr>
          <w:rFonts w:ascii="黑体" w:hAnsi="黑体" w:eastAsia="黑体" w:cs="Calibri"/>
          <w:b/>
          <w:bCs/>
          <w:szCs w:val="21"/>
        </w:rPr>
      </w:pPr>
      <w:r>
        <mc:AlternateContent>
          <mc:Choice Requires="wps">
            <w:drawing>
              <wp:anchor distT="0" distB="0" distL="114300" distR="114300" simplePos="0" relativeHeight="251659264" behindDoc="0" locked="0" layoutInCell="1" allowOverlap="1">
                <wp:simplePos x="0" y="0"/>
                <wp:positionH relativeFrom="margin">
                  <wp:posOffset>3378200</wp:posOffset>
                </wp:positionH>
                <wp:positionV relativeFrom="paragraph">
                  <wp:posOffset>12700</wp:posOffset>
                </wp:positionV>
                <wp:extent cx="1873250" cy="8458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73250" cy="845820"/>
                        </a:xfrm>
                        <a:prstGeom prst="rect">
                          <a:avLst/>
                        </a:prstGeom>
                        <a:noFill/>
                        <a:ln>
                          <a:noFill/>
                        </a:ln>
                      </wps:spPr>
                      <wps:txbx>
                        <w:txbxContent>
                          <w:p>
                            <w:pPr>
                              <w:widowControl/>
                              <w:adjustRightInd w:val="0"/>
                              <w:snapToGrid w:val="0"/>
                              <w:spacing w:after="200" w:line="220" w:lineRule="atLeast"/>
                              <w:jc w:val="center"/>
                              <w:rPr>
                                <w:rFonts w:ascii="黑体" w:hAnsi="黑体" w:eastAsia="黑体" w:cs="Calibri"/>
                                <w:bCs/>
                                <w:color w:val="000000" w:themeColor="text1"/>
                                <w:sz w:val="84"/>
                                <w:szCs w:val="84"/>
                                <w14:shadow w14:blurRad="38100" w14:dist="19050" w14:dir="2700000" w14:sx="100000" w14:sy="100000" w14:kx="0" w14:ky="0" w14:algn="tl">
                                  <w14:schemeClr w14:val="dk1">
                                    <w14:alpha w14:val="60000"/>
                                  </w14:schemeClr>
                                </w14:shadow>
                                <w14:textFill>
                                  <w14:solidFill>
                                    <w14:schemeClr w14:val="tx1"/>
                                  </w14:solidFill>
                                </w14:textFill>
                              </w:rPr>
                            </w:pPr>
                            <w:r>
                              <w:rPr>
                                <w:rFonts w:ascii="黑体" w:hAnsi="黑体" w:eastAsia="黑体" w:cs="Calibri"/>
                                <w:bCs/>
                                <w:color w:val="000000" w:themeColor="text1"/>
                                <w:sz w:val="84"/>
                                <w:szCs w:val="84"/>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ascii="黑体" w:hAnsi="黑体" w:eastAsia="黑体" w:cs="Calibri"/>
                                <w:bCs/>
                                <w:color w:val="000000" w:themeColor="text1"/>
                                <w:sz w:val="84"/>
                                <w:szCs w:val="84"/>
                                <w14:shadow w14:blurRad="38100" w14:dist="19050" w14:dir="2700000" w14:sx="100000" w14:sy="100000" w14:kx="0" w14:ky="0" w14:algn="tl">
                                  <w14:schemeClr w14:val="dk1">
                                    <w14:alpha w14:val="60000"/>
                                  </w14:schemeClr>
                                </w14:shadow>
                                <w14:textFill>
                                  <w14:solidFill>
                                    <w14:schemeClr w14:val="tx1"/>
                                  </w14:solidFill>
                                </w14:textFill>
                              </w:rPr>
                              <w:t>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pt;margin-top:1pt;height:66.6pt;width:147.5pt;mso-position-horizontal-relative:margin;z-index:251659264;mso-width-relative:page;mso-height-relative:page;" filled="f" stroked="f" coordsize="21600,21600" o:gfxdata="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kZHd01gAAAAkBAAAPAAAAAAAAAAEAIAAAACIAAABkcnMvZG93bnJldi54bWxQ&#10;SwECFAAUAAAACACHTuJAGt7LaTICAABdBAAADgAAAAAAAAABACAAAAAlAQAAZHJzL2Uyb0RvYy54&#10;bWxQSwUGAAAAAAYABgBZAQAAyQUAAAAA&#10;">
                <v:fill on="f" focussize="0,0"/>
                <v:stroke on="f"/>
                <v:imagedata o:title=""/>
                <o:lock v:ext="edit" aspectratio="f"/>
                <v:textbox>
                  <w:txbxContent>
                    <w:p>
                      <w:pPr>
                        <w:widowControl/>
                        <w:adjustRightInd w:val="0"/>
                        <w:snapToGrid w:val="0"/>
                        <w:spacing w:after="200" w:line="220" w:lineRule="atLeast"/>
                        <w:jc w:val="center"/>
                        <w:rPr>
                          <w:rFonts w:ascii="黑体" w:hAnsi="黑体" w:eastAsia="黑体" w:cs="Calibri"/>
                          <w:bCs/>
                          <w:color w:val="000000" w:themeColor="text1"/>
                          <w:sz w:val="84"/>
                          <w:szCs w:val="84"/>
                          <w14:shadow w14:blurRad="38100" w14:dist="19050" w14:dir="2700000" w14:sx="100000" w14:sy="100000" w14:kx="0" w14:ky="0" w14:algn="tl">
                            <w14:schemeClr w14:val="dk1">
                              <w14:alpha w14:val="60000"/>
                            </w14:schemeClr>
                          </w14:shadow>
                          <w14:textFill>
                            <w14:solidFill>
                              <w14:schemeClr w14:val="tx1"/>
                            </w14:solidFill>
                          </w14:textFill>
                        </w:rPr>
                      </w:pPr>
                      <w:r>
                        <w:rPr>
                          <w:rFonts w:ascii="黑体" w:hAnsi="黑体" w:eastAsia="黑体" w:cs="Calibri"/>
                          <w:bCs/>
                          <w:color w:val="000000" w:themeColor="text1"/>
                          <w:sz w:val="84"/>
                          <w:szCs w:val="84"/>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ascii="黑体" w:hAnsi="黑体" w:eastAsia="黑体" w:cs="Calibri"/>
                          <w:bCs/>
                          <w:color w:val="000000" w:themeColor="text1"/>
                          <w:sz w:val="84"/>
                          <w:szCs w:val="84"/>
                          <w14:shadow w14:blurRad="38100" w14:dist="19050" w14:dir="2700000" w14:sx="100000" w14:sy="100000" w14:kx="0" w14:ky="0" w14:algn="tl">
                            <w14:schemeClr w14:val="dk1">
                              <w14:alpha w14:val="60000"/>
                            </w14:schemeClr>
                          </w14:shadow>
                          <w14:textFill>
                            <w14:solidFill>
                              <w14:schemeClr w14:val="tx1"/>
                            </w14:solidFill>
                          </w14:textFill>
                        </w:rPr>
                        <w:t>TB</w:t>
                      </w:r>
                    </w:p>
                  </w:txbxContent>
                </v:textbox>
              </v:shape>
            </w:pict>
          </mc:Fallback>
        </mc:AlternateContent>
      </w:r>
      <w:r>
        <w:rPr>
          <w:rFonts w:hint="eastAsia" w:ascii="黑体" w:hAnsi="黑体" w:eastAsia="黑体" w:cs="Calibri"/>
          <w:b/>
          <w:bCs/>
          <w:szCs w:val="21"/>
        </w:rPr>
        <w:t>ICS 03.180</w:t>
      </w:r>
      <w:r>
        <w:rPr>
          <w:rFonts w:ascii="黑体" w:hAnsi="黑体" w:eastAsia="黑体" w:cs="Calibri"/>
          <w:b/>
          <w:bCs/>
          <w:szCs w:val="21"/>
        </w:rPr>
        <w:t xml:space="preserve"> </w:t>
      </w:r>
    </w:p>
    <w:p>
      <w:pPr>
        <w:widowControl/>
        <w:adjustRightInd w:val="0"/>
        <w:snapToGrid w:val="0"/>
        <w:spacing w:after="200" w:line="220" w:lineRule="atLeast"/>
        <w:rPr>
          <w:rFonts w:ascii="黑体" w:hAnsi="黑体" w:eastAsia="黑体" w:cs="Calibri"/>
          <w:b/>
          <w:bCs/>
          <w:szCs w:val="21"/>
        </w:rPr>
      </w:pPr>
      <w:r>
        <w:rPr>
          <w:rFonts w:hint="eastAsia" w:ascii="黑体" w:hAnsi="黑体" w:eastAsia="黑体" w:cs="Calibri"/>
          <w:b/>
          <w:bCs/>
          <w:szCs w:val="21"/>
        </w:rPr>
        <w:t>A 18</w:t>
      </w:r>
      <w:r>
        <w:rPr>
          <w:rFonts w:ascii="黑体" w:hAnsi="黑体" w:eastAsia="黑体" w:cs="Calibri"/>
          <w:b/>
          <w:bCs/>
          <w:szCs w:val="21"/>
        </w:rPr>
        <w:t xml:space="preserve"> </w:t>
      </w:r>
    </w:p>
    <w:p>
      <w:pPr>
        <w:widowControl/>
        <w:adjustRightInd w:val="0"/>
        <w:snapToGrid w:val="0"/>
        <w:spacing w:after="200" w:line="220" w:lineRule="atLeast"/>
        <w:rPr>
          <w:rFonts w:ascii="黑体" w:hAnsi="黑体" w:eastAsia="黑体" w:cs="Calibri"/>
          <w:b/>
          <w:bCs/>
          <w:szCs w:val="21"/>
          <w:lang w:eastAsia="zh-CN"/>
        </w:rPr>
      </w:pPr>
      <w:r>
        <w:rPr>
          <w:rFonts w:hint="eastAsia" w:ascii="黑体" w:hAnsi="黑体" w:eastAsia="黑体" w:cs="楷体"/>
          <w:szCs w:val="21"/>
        </w:rPr>
        <w:t>CAEA</w:t>
      </w:r>
      <w:r>
        <w:rPr>
          <w:rFonts w:ascii="黑体" w:hAnsi="黑体" w:eastAsia="黑体" w:cs="楷体"/>
          <w:szCs w:val="21"/>
        </w:rPr>
        <w:t xml:space="preserve"> </w:t>
      </w:r>
      <w:r>
        <w:rPr>
          <w:rFonts w:hint="eastAsia" w:ascii="黑体" w:hAnsi="黑体" w:eastAsia="黑体" w:cs="楷体"/>
          <w:szCs w:val="21"/>
        </w:rPr>
        <w:t>00</w:t>
      </w:r>
      <w:r>
        <w:rPr>
          <w:rFonts w:hint="eastAsia" w:ascii="黑体" w:hAnsi="黑体" w:eastAsia="黑体" w:cs="楷体"/>
          <w:szCs w:val="21"/>
          <w:lang w:eastAsia="zh-CN"/>
        </w:rPr>
        <w:t>04</w:t>
      </w:r>
    </w:p>
    <w:p>
      <w:pPr>
        <w:widowControl/>
        <w:adjustRightInd w:val="0"/>
        <w:snapToGrid w:val="0"/>
        <w:spacing w:after="200" w:line="220" w:lineRule="atLeast"/>
        <w:jc w:val="distribute"/>
        <w:rPr>
          <w:rFonts w:cs="仿宋"/>
          <w:sz w:val="52"/>
          <w:szCs w:val="28"/>
        </w:rPr>
      </w:pPr>
      <w:r>
        <w:rPr>
          <w:rFonts w:hint="eastAsia" w:cs="仿宋"/>
          <w:b/>
          <w:bCs/>
          <w:sz w:val="52"/>
          <w:szCs w:val="28"/>
        </w:rPr>
        <w:t>团体标准</w:t>
      </w:r>
    </w:p>
    <w:p>
      <w:pPr>
        <w:widowControl/>
        <w:adjustRightInd w:val="0"/>
        <w:snapToGrid w:val="0"/>
        <w:spacing w:after="200" w:line="220" w:lineRule="atLeast"/>
        <w:jc w:val="right"/>
        <w:rPr>
          <w:rFonts w:ascii="楷体" w:hAnsi="楷体" w:eastAsia="楷体" w:cs="楷体"/>
          <w:sz w:val="28"/>
          <w:szCs w:val="28"/>
          <w:lang w:eastAsia="zh-CN"/>
        </w:rPr>
      </w:pPr>
      <w:r>
        <w:rPr>
          <w:rFonts w:hint="eastAsia" w:ascii="楷体" w:hAnsi="楷体" w:eastAsia="楷体" w:cs="楷体"/>
          <w:sz w:val="28"/>
          <w:szCs w:val="28"/>
        </w:rPr>
        <w:t>T/CAEA 00</w:t>
      </w:r>
      <w:r>
        <w:rPr>
          <w:rFonts w:hint="eastAsia" w:ascii="楷体" w:hAnsi="楷体" w:eastAsia="楷体" w:cs="楷体"/>
          <w:sz w:val="28"/>
          <w:szCs w:val="28"/>
          <w:lang w:eastAsia="zh-CN"/>
        </w:rPr>
        <w:t>04</w:t>
      </w:r>
      <w:r>
        <w:rPr>
          <w:rFonts w:hint="eastAsia" w:ascii="楷体" w:hAnsi="楷体" w:eastAsia="楷体" w:cs="楷体"/>
          <w:sz w:val="28"/>
          <w:szCs w:val="28"/>
        </w:rPr>
        <w:t>-</w:t>
      </w:r>
      <w:r>
        <w:rPr>
          <w:rFonts w:hint="eastAsia" w:ascii="楷体" w:hAnsi="楷体" w:eastAsia="楷体" w:cs="楷体"/>
          <w:sz w:val="28"/>
          <w:szCs w:val="28"/>
          <w:lang w:eastAsia="zh-CN"/>
        </w:rPr>
        <w:t>2020</w:t>
      </w:r>
    </w:p>
    <w:p>
      <w:pPr>
        <w:widowControl/>
        <w:adjustRightInd w:val="0"/>
        <w:snapToGrid w:val="0"/>
        <w:spacing w:after="200" w:line="220" w:lineRule="atLeast"/>
        <w:ind w:firstLine="280" w:firstLineChars="100"/>
        <w:rPr>
          <w:rFonts w:ascii="仿宋" w:hAnsi="仿宋" w:eastAsia="仿宋" w:cs="仿宋"/>
          <w:u w:val="thick"/>
        </w:rPr>
      </w:pPr>
      <w:r>
        <w:rPr>
          <w:rFonts w:hint="eastAsia" w:ascii="仿宋" w:hAnsi="仿宋" w:eastAsia="仿宋" w:cs="仿宋"/>
          <w:sz w:val="28"/>
          <w:szCs w:val="28"/>
          <w:u w:val="thick"/>
        </w:rPr>
        <w:t>_____________________________________________________</w:t>
      </w:r>
      <w:r>
        <w:rPr>
          <w:rFonts w:ascii="仿宋" w:hAnsi="仿宋" w:eastAsia="仿宋" w:cs="仿宋"/>
          <w:sz w:val="28"/>
          <w:szCs w:val="28"/>
          <w:u w:val="thick"/>
        </w:rPr>
        <w:t xml:space="preserve">        </w:t>
      </w:r>
    </w:p>
    <w:p>
      <w:pPr>
        <w:widowControl/>
        <w:adjustRightInd w:val="0"/>
        <w:snapToGrid w:val="0"/>
        <w:spacing w:after="200" w:line="220" w:lineRule="atLeast"/>
        <w:rPr>
          <w:rFonts w:ascii="仿宋" w:hAnsi="仿宋" w:eastAsia="仿宋" w:cs="仿宋"/>
          <w:u w:val="single"/>
        </w:rPr>
      </w:pPr>
    </w:p>
    <w:p>
      <w:pPr>
        <w:widowControl/>
        <w:adjustRightInd w:val="0"/>
        <w:snapToGrid w:val="0"/>
        <w:spacing w:after="200" w:line="220" w:lineRule="atLeast"/>
        <w:rPr>
          <w:rFonts w:ascii="仿宋" w:hAnsi="仿宋" w:eastAsia="仿宋" w:cs="仿宋"/>
          <w:u w:val="single"/>
        </w:rPr>
      </w:pPr>
    </w:p>
    <w:p>
      <w:pPr>
        <w:widowControl/>
        <w:adjustRightInd w:val="0"/>
        <w:snapToGrid w:val="0"/>
        <w:spacing w:after="200" w:line="220" w:lineRule="atLeast"/>
        <w:rPr>
          <w:rFonts w:ascii="仿宋" w:hAnsi="仿宋" w:eastAsia="仿宋" w:cs="仿宋"/>
          <w:u w:val="single"/>
        </w:rPr>
      </w:pPr>
    </w:p>
    <w:p>
      <w:pPr>
        <w:widowControl/>
        <w:adjustRightInd w:val="0"/>
        <w:snapToGrid w:val="0"/>
        <w:spacing w:after="200" w:line="220" w:lineRule="atLeast"/>
        <w:jc w:val="center"/>
        <w:rPr>
          <w:rFonts w:ascii="黑体" w:hAnsi="黑体" w:eastAsia="黑体" w:cs="黑体"/>
          <w:sz w:val="52"/>
          <w:szCs w:val="52"/>
          <w:lang w:eastAsia="zh-CN"/>
        </w:rPr>
      </w:pPr>
      <w:r>
        <w:rPr>
          <w:rFonts w:hint="eastAsia" w:ascii="黑体" w:hAnsi="黑体" w:eastAsia="黑体" w:cs="黑体"/>
          <w:sz w:val="52"/>
          <w:szCs w:val="52"/>
          <w:lang w:eastAsia="zh-CN"/>
        </w:rPr>
        <w:t>数据分析师能力培训标准</w:t>
      </w:r>
    </w:p>
    <w:p>
      <w:pPr>
        <w:widowControl/>
        <w:adjustRightInd w:val="0"/>
        <w:snapToGrid w:val="0"/>
        <w:spacing w:after="200" w:line="220" w:lineRule="atLeast"/>
        <w:jc w:val="center"/>
        <w:rPr>
          <w:rFonts w:ascii="黑体" w:hAnsi="黑体" w:eastAsia="黑体" w:cs="仿宋"/>
          <w:sz w:val="28"/>
          <w:szCs w:val="28"/>
        </w:rPr>
      </w:pPr>
      <w:r>
        <w:rPr>
          <w:rFonts w:hint="eastAsia" w:ascii="黑体" w:hAnsi="黑体" w:eastAsia="黑体" w:cs="仿宋"/>
          <w:sz w:val="28"/>
          <w:szCs w:val="28"/>
        </w:rPr>
        <w:t>Data analyst competency training standard</w:t>
      </w:r>
    </w:p>
    <w:p>
      <w:pPr>
        <w:widowControl/>
        <w:adjustRightInd w:val="0"/>
        <w:snapToGrid w:val="0"/>
        <w:spacing w:after="200" w:line="220" w:lineRule="atLeast"/>
        <w:jc w:val="center"/>
        <w:rPr>
          <w:rFonts w:ascii="仿宋" w:hAnsi="仿宋" w:eastAsia="仿宋" w:cs="仿宋"/>
          <w:sz w:val="30"/>
          <w:szCs w:val="30"/>
        </w:rPr>
      </w:pPr>
    </w:p>
    <w:p>
      <w:pPr>
        <w:widowControl/>
        <w:adjustRightInd w:val="0"/>
        <w:snapToGrid w:val="0"/>
        <w:spacing w:after="200" w:line="220" w:lineRule="atLeast"/>
        <w:rPr>
          <w:rFonts w:ascii="仿宋" w:hAnsi="仿宋" w:eastAsia="仿宋" w:cs="仿宋"/>
          <w:u w:val="single"/>
        </w:rPr>
      </w:pPr>
    </w:p>
    <w:p>
      <w:pPr>
        <w:widowControl/>
        <w:adjustRightInd w:val="0"/>
        <w:snapToGrid w:val="0"/>
        <w:spacing w:after="200" w:line="220" w:lineRule="atLeast"/>
        <w:rPr>
          <w:rFonts w:ascii="仿宋" w:hAnsi="仿宋" w:eastAsia="仿宋" w:cs="仿宋"/>
          <w:u w:val="single"/>
        </w:rPr>
      </w:pPr>
    </w:p>
    <w:p>
      <w:pPr>
        <w:widowControl/>
        <w:adjustRightInd w:val="0"/>
        <w:snapToGrid w:val="0"/>
        <w:spacing w:after="200" w:line="220" w:lineRule="atLeast"/>
        <w:rPr>
          <w:rFonts w:ascii="仿宋" w:hAnsi="仿宋" w:eastAsia="仿宋" w:cs="仿宋"/>
          <w:u w:val="single"/>
        </w:rPr>
      </w:pPr>
    </w:p>
    <w:p>
      <w:pPr>
        <w:widowControl/>
        <w:adjustRightInd w:val="0"/>
        <w:snapToGrid w:val="0"/>
        <w:spacing w:after="200" w:line="220" w:lineRule="atLeast"/>
        <w:rPr>
          <w:rFonts w:ascii="仿宋" w:hAnsi="仿宋" w:eastAsia="仿宋" w:cs="仿宋"/>
          <w:u w:val="single"/>
        </w:rPr>
      </w:pPr>
    </w:p>
    <w:p>
      <w:pPr>
        <w:widowControl/>
        <w:adjustRightInd w:val="0"/>
        <w:snapToGrid w:val="0"/>
        <w:spacing w:after="200" w:line="220" w:lineRule="atLeast"/>
        <w:rPr>
          <w:rFonts w:ascii="仿宋" w:hAnsi="仿宋" w:eastAsia="仿宋" w:cs="仿宋"/>
          <w:u w:val="single"/>
        </w:rPr>
      </w:pPr>
    </w:p>
    <w:p>
      <w:pPr>
        <w:widowControl/>
        <w:adjustRightInd w:val="0"/>
        <w:snapToGrid w:val="0"/>
        <w:spacing w:after="200" w:line="220" w:lineRule="atLeast"/>
        <w:rPr>
          <w:rFonts w:ascii="Times New Roman" w:hAnsi="Times New Roman" w:eastAsia="仿宋" w:cs="Times New Roman"/>
          <w:sz w:val="28"/>
          <w:szCs w:val="28"/>
          <w:u w:val="single"/>
        </w:rPr>
      </w:pPr>
    </w:p>
    <w:p>
      <w:pPr>
        <w:widowControl/>
        <w:adjustRightInd w:val="0"/>
        <w:snapToGrid w:val="0"/>
        <w:spacing w:after="200" w:line="220" w:lineRule="atLeast"/>
        <w:rPr>
          <w:rFonts w:ascii="Times New Roman" w:hAnsi="Times New Roman" w:eastAsia="仿宋" w:cs="Times New Roman"/>
          <w:sz w:val="28"/>
          <w:szCs w:val="28"/>
          <w:u w:val="single"/>
        </w:rPr>
      </w:pPr>
    </w:p>
    <w:p>
      <w:pPr>
        <w:widowControl/>
        <w:adjustRightInd w:val="0"/>
        <w:snapToGrid w:val="0"/>
        <w:spacing w:after="200" w:line="220" w:lineRule="atLeast"/>
        <w:rPr>
          <w:rFonts w:ascii="Times New Roman" w:hAnsi="Times New Roman" w:eastAsia="仿宋" w:cs="Times New Roman"/>
          <w:sz w:val="28"/>
          <w:szCs w:val="28"/>
          <w:u w:val="single"/>
        </w:rPr>
      </w:pPr>
    </w:p>
    <w:p>
      <w:pPr>
        <w:widowControl/>
        <w:adjustRightInd w:val="0"/>
        <w:snapToGrid w:val="0"/>
        <w:spacing w:after="200" w:line="220" w:lineRule="atLeast"/>
        <w:rPr>
          <w:rFonts w:ascii="Times New Roman" w:hAnsi="Times New Roman" w:eastAsia="仿宋" w:cs="Times New Roman"/>
          <w:sz w:val="28"/>
          <w:szCs w:val="28"/>
          <w:u w:val="single"/>
        </w:rPr>
      </w:pPr>
    </w:p>
    <w:p>
      <w:pPr>
        <w:widowControl/>
        <w:adjustRightInd w:val="0"/>
        <w:snapToGrid w:val="0"/>
        <w:spacing w:after="200" w:line="220" w:lineRule="atLeast"/>
        <w:rPr>
          <w:rFonts w:ascii="Times New Roman" w:hAnsi="Times New Roman" w:eastAsia="仿宋" w:cs="Times New Roman"/>
          <w:sz w:val="28"/>
          <w:szCs w:val="28"/>
          <w:u w:val="single"/>
        </w:rPr>
      </w:pPr>
    </w:p>
    <w:p>
      <w:pPr>
        <w:widowControl/>
        <w:adjustRightInd w:val="0"/>
        <w:snapToGrid w:val="0"/>
        <w:spacing w:after="200" w:line="220" w:lineRule="atLeast"/>
        <w:rPr>
          <w:rFonts w:ascii="黑体" w:hAnsi="黑体" w:eastAsia="黑体" w:cs="Times New Roman"/>
          <w:u w:val="single"/>
          <w:lang w:eastAsia="zh-CN"/>
        </w:rPr>
      </w:pPr>
      <w:r>
        <w:rPr>
          <w:rFonts w:ascii="黑体" w:hAnsi="黑体" w:eastAsia="黑体" w:cs="Times New Roman"/>
          <w:sz w:val="28"/>
          <w:szCs w:val="28"/>
          <w:u w:val="single"/>
          <w:lang w:eastAsia="zh-CN"/>
        </w:rPr>
        <w:t>20</w:t>
      </w:r>
      <w:r>
        <w:rPr>
          <w:rFonts w:hint="eastAsia" w:ascii="黑体" w:hAnsi="黑体" w:eastAsia="黑体" w:cs="Times New Roman"/>
          <w:sz w:val="28"/>
          <w:szCs w:val="28"/>
          <w:u w:val="single"/>
          <w:lang w:eastAsia="zh-CN"/>
        </w:rPr>
        <w:t>21</w:t>
      </w:r>
      <w:r>
        <w:rPr>
          <w:rFonts w:ascii="黑体" w:hAnsi="黑体" w:eastAsia="黑体" w:cs="Times New Roman"/>
          <w:sz w:val="28"/>
          <w:szCs w:val="28"/>
          <w:u w:val="single"/>
          <w:lang w:eastAsia="zh-CN"/>
        </w:rPr>
        <w:t>.</w:t>
      </w:r>
      <w:r>
        <w:rPr>
          <w:rFonts w:hint="eastAsia" w:ascii="黑体" w:hAnsi="黑体" w:eastAsia="黑体" w:cs="Times New Roman"/>
          <w:sz w:val="28"/>
          <w:szCs w:val="28"/>
          <w:u w:val="single"/>
          <w:lang w:val="en-US" w:eastAsia="zh-CN"/>
        </w:rPr>
        <w:t>12</w:t>
      </w:r>
      <w:r>
        <w:rPr>
          <w:rFonts w:ascii="黑体" w:hAnsi="黑体" w:eastAsia="黑体" w:cs="Times New Roman"/>
          <w:sz w:val="28"/>
          <w:szCs w:val="28"/>
          <w:u w:val="single"/>
          <w:lang w:eastAsia="zh-CN"/>
        </w:rPr>
        <w:t>.</w:t>
      </w:r>
      <w:r>
        <w:rPr>
          <w:rFonts w:hint="default" w:ascii="黑体" w:hAnsi="黑体" w:eastAsia="黑体" w:cs="Times New Roman"/>
          <w:sz w:val="28"/>
          <w:szCs w:val="28"/>
          <w:u w:val="single"/>
          <w:lang w:val="en-US" w:eastAsia="zh-CN"/>
        </w:rPr>
        <w:t>2</w:t>
      </w:r>
      <w:r>
        <w:rPr>
          <w:rFonts w:hint="eastAsia" w:ascii="黑体" w:hAnsi="黑体" w:eastAsia="黑体" w:cs="Times New Roman"/>
          <w:sz w:val="28"/>
          <w:szCs w:val="28"/>
          <w:u w:val="single"/>
          <w:lang w:val="en-US" w:eastAsia="zh-CN"/>
        </w:rPr>
        <w:t xml:space="preserve">5 </w:t>
      </w:r>
      <w:r>
        <w:rPr>
          <w:rFonts w:hint="eastAsia" w:ascii="黑体" w:hAnsi="黑体" w:eastAsia="黑体" w:cs="仿宋"/>
          <w:sz w:val="28"/>
          <w:szCs w:val="28"/>
          <w:u w:val="single"/>
          <w:lang w:eastAsia="zh-CN"/>
        </w:rPr>
        <w:t xml:space="preserve">发布 </w:t>
      </w:r>
      <w:r>
        <w:rPr>
          <w:rFonts w:ascii="黑体" w:hAnsi="黑体" w:eastAsia="黑体" w:cs="仿宋"/>
          <w:sz w:val="28"/>
          <w:szCs w:val="28"/>
          <w:u w:val="single"/>
          <w:lang w:eastAsia="zh-CN"/>
        </w:rPr>
        <w:t xml:space="preserve">  </w:t>
      </w:r>
      <w:r>
        <w:rPr>
          <w:rFonts w:hint="eastAsia" w:ascii="黑体" w:hAnsi="黑体" w:eastAsia="黑体" w:cs="Times New Roman"/>
          <w:sz w:val="28"/>
          <w:szCs w:val="28"/>
          <w:u w:val="single"/>
          <w:lang w:eastAsia="zh-CN"/>
        </w:rPr>
        <w:t xml:space="preserve"> </w:t>
      </w:r>
      <w:r>
        <w:rPr>
          <w:rFonts w:ascii="黑体" w:hAnsi="黑体" w:eastAsia="黑体" w:cs="Times New Roman"/>
          <w:sz w:val="28"/>
          <w:szCs w:val="28"/>
          <w:u w:val="single"/>
          <w:lang w:eastAsia="zh-CN"/>
        </w:rPr>
        <w:t xml:space="preserve">                         20</w:t>
      </w:r>
      <w:r>
        <w:rPr>
          <w:rFonts w:hint="eastAsia" w:ascii="黑体" w:hAnsi="黑体" w:eastAsia="黑体" w:cs="Times New Roman"/>
          <w:sz w:val="28"/>
          <w:szCs w:val="28"/>
          <w:u w:val="single"/>
          <w:lang w:eastAsia="zh-CN"/>
        </w:rPr>
        <w:t>21</w:t>
      </w:r>
      <w:r>
        <w:rPr>
          <w:rFonts w:ascii="黑体" w:hAnsi="黑体" w:eastAsia="黑体" w:cs="Times New Roman"/>
          <w:sz w:val="28"/>
          <w:szCs w:val="28"/>
          <w:u w:val="single"/>
          <w:lang w:eastAsia="zh-CN"/>
        </w:rPr>
        <w:t>.</w:t>
      </w:r>
      <w:r>
        <w:rPr>
          <w:rFonts w:hint="eastAsia" w:ascii="黑体" w:hAnsi="黑体" w:eastAsia="黑体" w:cs="Times New Roman"/>
          <w:sz w:val="28"/>
          <w:szCs w:val="28"/>
          <w:u w:val="single"/>
          <w:lang w:val="en-US" w:eastAsia="zh-CN"/>
        </w:rPr>
        <w:t>12</w:t>
      </w:r>
      <w:r>
        <w:rPr>
          <w:rFonts w:ascii="黑体" w:hAnsi="黑体" w:eastAsia="黑体" w:cs="Times New Roman"/>
          <w:sz w:val="28"/>
          <w:szCs w:val="28"/>
          <w:u w:val="single"/>
          <w:lang w:eastAsia="zh-CN"/>
        </w:rPr>
        <w:t>.</w:t>
      </w:r>
      <w:r>
        <w:rPr>
          <w:rFonts w:hint="default" w:ascii="黑体" w:hAnsi="黑体" w:eastAsia="黑体" w:cs="Times New Roman"/>
          <w:sz w:val="28"/>
          <w:szCs w:val="28"/>
          <w:u w:val="single"/>
          <w:lang w:val="en-US" w:eastAsia="zh-CN"/>
        </w:rPr>
        <w:t>2</w:t>
      </w:r>
      <w:r>
        <w:rPr>
          <w:rFonts w:hint="eastAsia" w:ascii="黑体" w:hAnsi="黑体" w:eastAsia="黑体" w:cs="Times New Roman"/>
          <w:sz w:val="28"/>
          <w:szCs w:val="28"/>
          <w:u w:val="single"/>
          <w:lang w:val="en-US" w:eastAsia="zh-CN"/>
        </w:rPr>
        <w:t>6</w:t>
      </w:r>
      <w:r>
        <w:rPr>
          <w:rFonts w:hint="eastAsia" w:ascii="黑体" w:hAnsi="黑体" w:eastAsia="黑体" w:cs="Times New Roman"/>
          <w:sz w:val="28"/>
          <w:szCs w:val="28"/>
          <w:u w:val="single"/>
          <w:lang w:eastAsia="zh-CN"/>
        </w:rPr>
        <w:t xml:space="preserve"> </w:t>
      </w:r>
      <w:r>
        <w:rPr>
          <w:rFonts w:hint="eastAsia" w:ascii="黑体" w:hAnsi="黑体" w:eastAsia="黑体" w:cs="仿宋"/>
          <w:sz w:val="28"/>
          <w:szCs w:val="28"/>
          <w:u w:val="single"/>
          <w:lang w:eastAsia="zh-CN"/>
        </w:rPr>
        <w:t>实施</w:t>
      </w:r>
    </w:p>
    <w:p>
      <w:pPr>
        <w:widowControl/>
        <w:adjustRightInd w:val="0"/>
        <w:snapToGrid w:val="0"/>
        <w:spacing w:after="200" w:line="220" w:lineRule="atLeast"/>
        <w:ind w:firstLine="643" w:firstLineChars="200"/>
        <w:jc w:val="center"/>
        <w:rPr>
          <w:rFonts w:ascii="仿宋" w:hAnsi="仿宋" w:eastAsia="仿宋" w:cs="仿宋"/>
          <w:b/>
          <w:bCs/>
          <w:sz w:val="18"/>
          <w:szCs w:val="18"/>
          <w:lang w:eastAsia="zh-CN"/>
        </w:rPr>
      </w:pPr>
      <w:r>
        <w:rPr>
          <w:rFonts w:hint="eastAsia" w:ascii="仿宋" w:hAnsi="仿宋" w:eastAsia="仿宋" w:cs="仿宋"/>
          <w:b/>
          <w:bCs/>
          <w:sz w:val="32"/>
          <w:szCs w:val="32"/>
          <w:lang w:eastAsia="zh-CN"/>
        </w:rPr>
        <w:t xml:space="preserve"> </w:t>
      </w:r>
    </w:p>
    <w:p>
      <w:pPr>
        <w:widowControl/>
        <w:adjustRightInd w:val="0"/>
        <w:snapToGrid w:val="0"/>
        <w:spacing w:after="200" w:line="220" w:lineRule="atLeast"/>
        <w:jc w:val="center"/>
        <w:rPr>
          <w:rFonts w:ascii="黑体" w:hAnsi="黑体" w:eastAsia="黑体" w:cs="仿宋"/>
          <w:sz w:val="32"/>
          <w:szCs w:val="32"/>
          <w:lang w:eastAsia="zh-CN"/>
        </w:rPr>
      </w:pPr>
      <w:r>
        <w:rPr>
          <w:rFonts w:hint="eastAsia" w:ascii="黑体" w:hAnsi="黑体" w:eastAsia="黑体" w:cs="仿宋"/>
          <w:b/>
          <w:bCs/>
          <w:sz w:val="32"/>
          <w:szCs w:val="32"/>
          <w:lang w:eastAsia="zh-CN"/>
        </w:rPr>
        <w:t>中国成人教育协会标准化工作委员会办公室发布</w:t>
      </w:r>
    </w:p>
    <w:p>
      <w:pPr>
        <w:jc w:val="center"/>
        <w:rPr>
          <w:rFonts w:ascii="黑体" w:hAnsi="黑体" w:eastAsia="黑体"/>
          <w:color w:val="FF0000"/>
          <w:sz w:val="32"/>
          <w:szCs w:val="32"/>
          <w:lang w:eastAsia="zh-CN"/>
        </w:rPr>
        <w:sectPr>
          <w:footerReference r:id="rId3" w:type="default"/>
          <w:pgSz w:w="11906" w:h="16838"/>
          <w:pgMar w:top="1440" w:right="1800" w:bottom="1440" w:left="1800" w:header="851" w:footer="992" w:gutter="0"/>
          <w:pgNumType w:fmt="upperRoman"/>
          <w:cols w:space="425" w:num="1"/>
          <w:docGrid w:type="lines" w:linePitch="312" w:charSpace="0"/>
        </w:sectPr>
      </w:pPr>
    </w:p>
    <w:p>
      <w:pPr>
        <w:jc w:val="center"/>
        <w:rPr>
          <w:rFonts w:ascii="黑体" w:hAnsi="黑体" w:eastAsia="黑体"/>
          <w:sz w:val="32"/>
          <w:szCs w:val="32"/>
          <w:lang w:eastAsia="zh-CN"/>
        </w:rPr>
      </w:pPr>
      <w:r>
        <w:rPr>
          <w:rFonts w:hint="eastAsia" w:ascii="黑体" w:hAnsi="黑体" w:eastAsia="黑体"/>
          <w:sz w:val="32"/>
          <w:szCs w:val="32"/>
          <w:lang w:eastAsia="zh-CN"/>
        </w:rPr>
        <w:t>目</w:t>
      </w:r>
      <w:r>
        <w:rPr>
          <w:rFonts w:ascii="黑体" w:hAnsi="黑体" w:eastAsia="黑体"/>
          <w:sz w:val="32"/>
          <w:szCs w:val="32"/>
          <w:lang w:eastAsia="zh-CN"/>
        </w:rPr>
        <w:t xml:space="preserve">  </w:t>
      </w:r>
      <w:r>
        <w:rPr>
          <w:rFonts w:hint="eastAsia" w:ascii="黑体" w:hAnsi="黑体" w:eastAsia="黑体"/>
          <w:sz w:val="32"/>
          <w:szCs w:val="32"/>
          <w:lang w:eastAsia="zh-CN"/>
        </w:rPr>
        <w:t>次</w:t>
      </w:r>
    </w:p>
    <w:p>
      <w:pPr>
        <w:jc w:val="center"/>
        <w:rPr>
          <w:rFonts w:ascii="黑体" w:hAnsi="黑体" w:eastAsia="黑体"/>
          <w:sz w:val="32"/>
          <w:szCs w:val="32"/>
          <w:lang w:eastAsia="zh-CN"/>
        </w:rPr>
      </w:pPr>
    </w:p>
    <w:p>
      <w:pPr>
        <w:widowControl/>
        <w:tabs>
          <w:tab w:val="right" w:leader="dot" w:pos="8306"/>
        </w:tabs>
        <w:snapToGrid w:val="0"/>
        <w:spacing w:line="360" w:lineRule="auto"/>
        <w:jc w:val="center"/>
        <w:rPr>
          <w:szCs w:val="21"/>
          <w:lang w:eastAsia="zh-CN"/>
        </w:rPr>
      </w:pPr>
      <w:r>
        <w:fldChar w:fldCharType="begin"/>
      </w:r>
      <w:r>
        <w:instrText xml:space="preserve"> HYPERLINK \l "_Toc6384" </w:instrText>
      </w:r>
      <w:r>
        <w:fldChar w:fldCharType="separate"/>
      </w:r>
      <w:r>
        <w:rPr>
          <w:rFonts w:hint="eastAsia"/>
          <w:szCs w:val="21"/>
          <w:lang w:eastAsia="zh-CN"/>
        </w:rPr>
        <w:t>前  言</w:t>
      </w:r>
      <w:r>
        <w:rPr>
          <w:rFonts w:hint="eastAsia"/>
          <w:szCs w:val="21"/>
          <w:lang w:eastAsia="zh-CN"/>
        </w:rPr>
        <w:tab/>
      </w:r>
      <w:r>
        <w:rPr>
          <w:rFonts w:hint="eastAsia"/>
          <w:szCs w:val="21"/>
          <w:lang w:eastAsia="zh-CN"/>
        </w:rPr>
        <w:t>Ⅰ</w:t>
      </w:r>
      <w:r>
        <w:rPr>
          <w:rFonts w:hint="eastAsia"/>
          <w:szCs w:val="21"/>
          <w:lang w:eastAsia="zh-CN"/>
        </w:rPr>
        <w:fldChar w:fldCharType="end"/>
      </w:r>
    </w:p>
    <w:p>
      <w:pPr>
        <w:widowControl/>
        <w:tabs>
          <w:tab w:val="right" w:leader="dot" w:pos="8306"/>
        </w:tabs>
        <w:snapToGrid w:val="0"/>
        <w:spacing w:line="360" w:lineRule="auto"/>
        <w:jc w:val="center"/>
        <w:rPr>
          <w:szCs w:val="21"/>
          <w:lang w:eastAsia="zh-CN"/>
        </w:rPr>
      </w:pPr>
      <w:r>
        <w:fldChar w:fldCharType="begin"/>
      </w:r>
      <w:r>
        <w:instrText xml:space="preserve"> HYPERLINK \l "_Toc6384" </w:instrText>
      </w:r>
      <w:r>
        <w:fldChar w:fldCharType="separate"/>
      </w:r>
      <w:r>
        <w:rPr>
          <w:rFonts w:hint="eastAsia"/>
          <w:szCs w:val="21"/>
          <w:lang w:eastAsia="zh-CN"/>
        </w:rPr>
        <w:t>引  言</w:t>
      </w:r>
      <w:r>
        <w:rPr>
          <w:rFonts w:hint="eastAsia"/>
          <w:szCs w:val="21"/>
          <w:lang w:eastAsia="zh-CN"/>
        </w:rPr>
        <w:tab/>
      </w:r>
      <w:r>
        <w:rPr>
          <w:rFonts w:hint="eastAsia"/>
          <w:szCs w:val="21"/>
          <w:lang w:eastAsia="zh-CN"/>
        </w:rPr>
        <w:t>Ⅱ</w:t>
      </w:r>
      <w:r>
        <w:rPr>
          <w:rFonts w:hint="eastAsia"/>
          <w:szCs w:val="21"/>
          <w:lang w:eastAsia="zh-CN"/>
        </w:rPr>
        <w:fldChar w:fldCharType="end"/>
      </w:r>
    </w:p>
    <w:p>
      <w:pPr>
        <w:widowControl/>
        <w:tabs>
          <w:tab w:val="right" w:leader="dot" w:pos="8306"/>
        </w:tabs>
        <w:snapToGrid w:val="0"/>
        <w:spacing w:line="360" w:lineRule="auto"/>
        <w:jc w:val="center"/>
        <w:rPr>
          <w:szCs w:val="21"/>
          <w:lang w:eastAsia="zh-CN"/>
        </w:rPr>
      </w:pPr>
      <w:r>
        <w:fldChar w:fldCharType="begin"/>
      </w:r>
      <w:r>
        <w:instrText xml:space="preserve"> HYPERLINK \l "_Toc16400" </w:instrText>
      </w:r>
      <w:r>
        <w:fldChar w:fldCharType="separate"/>
      </w:r>
      <w:r>
        <w:rPr>
          <w:rFonts w:hint="eastAsia"/>
          <w:szCs w:val="21"/>
          <w:lang w:eastAsia="zh-CN"/>
        </w:rPr>
        <w:t>1 范围</w:t>
      </w:r>
      <w:r>
        <w:rPr>
          <w:rFonts w:hint="eastAsia"/>
          <w:szCs w:val="21"/>
          <w:lang w:eastAsia="zh-CN"/>
        </w:rPr>
        <w:tab/>
      </w:r>
      <w:r>
        <w:rPr>
          <w:rFonts w:hint="eastAsia"/>
          <w:szCs w:val="21"/>
          <w:lang w:eastAsia="zh-CN"/>
        </w:rPr>
        <w:t>1</w:t>
      </w:r>
      <w:r>
        <w:rPr>
          <w:rFonts w:hint="eastAsia"/>
          <w:szCs w:val="21"/>
          <w:lang w:eastAsia="zh-CN"/>
        </w:rPr>
        <w:fldChar w:fldCharType="end"/>
      </w:r>
    </w:p>
    <w:p>
      <w:pPr>
        <w:widowControl/>
        <w:tabs>
          <w:tab w:val="right" w:leader="dot" w:pos="8306"/>
        </w:tabs>
        <w:snapToGrid w:val="0"/>
        <w:spacing w:line="360" w:lineRule="auto"/>
        <w:jc w:val="center"/>
        <w:rPr>
          <w:szCs w:val="21"/>
          <w:lang w:eastAsia="zh-CN"/>
        </w:rPr>
      </w:pPr>
      <w:r>
        <w:fldChar w:fldCharType="begin"/>
      </w:r>
      <w:r>
        <w:instrText xml:space="preserve"> HYPERLINK \l "_Toc22402" </w:instrText>
      </w:r>
      <w:r>
        <w:fldChar w:fldCharType="separate"/>
      </w:r>
      <w:r>
        <w:rPr>
          <w:rFonts w:hint="eastAsia"/>
          <w:szCs w:val="21"/>
          <w:lang w:eastAsia="zh-CN"/>
        </w:rPr>
        <w:t>2 规范性引用文件</w:t>
      </w:r>
      <w:r>
        <w:rPr>
          <w:rFonts w:hint="eastAsia"/>
          <w:szCs w:val="21"/>
          <w:lang w:eastAsia="zh-CN"/>
        </w:rPr>
        <w:tab/>
      </w:r>
      <w:r>
        <w:rPr>
          <w:rFonts w:hint="eastAsia"/>
          <w:szCs w:val="21"/>
          <w:lang w:eastAsia="zh-CN"/>
        </w:rPr>
        <w:fldChar w:fldCharType="end"/>
      </w:r>
      <w:r>
        <w:rPr>
          <w:rFonts w:hint="eastAsia"/>
          <w:szCs w:val="21"/>
          <w:lang w:eastAsia="zh-CN"/>
        </w:rPr>
        <w:t>1</w:t>
      </w:r>
    </w:p>
    <w:p>
      <w:pPr>
        <w:widowControl/>
        <w:tabs>
          <w:tab w:val="right" w:leader="dot" w:pos="8306"/>
        </w:tabs>
        <w:snapToGrid w:val="0"/>
        <w:spacing w:line="360" w:lineRule="auto"/>
        <w:jc w:val="center"/>
        <w:rPr>
          <w:szCs w:val="21"/>
          <w:lang w:eastAsia="zh-CN"/>
        </w:rPr>
      </w:pPr>
      <w:r>
        <w:fldChar w:fldCharType="begin"/>
      </w:r>
      <w:r>
        <w:instrText xml:space="preserve"> HYPERLINK \l "_Toc3093" </w:instrText>
      </w:r>
      <w:r>
        <w:fldChar w:fldCharType="separate"/>
      </w:r>
      <w:r>
        <w:rPr>
          <w:rFonts w:hint="eastAsia"/>
          <w:szCs w:val="21"/>
          <w:lang w:eastAsia="zh-CN"/>
        </w:rPr>
        <w:t>3 术语与定义</w:t>
      </w:r>
      <w:r>
        <w:rPr>
          <w:rFonts w:hint="eastAsia"/>
          <w:szCs w:val="21"/>
          <w:lang w:eastAsia="zh-CN"/>
        </w:rPr>
        <w:tab/>
      </w:r>
      <w:r>
        <w:rPr>
          <w:rFonts w:hint="eastAsia"/>
          <w:szCs w:val="21"/>
          <w:lang w:eastAsia="zh-CN"/>
        </w:rPr>
        <w:fldChar w:fldCharType="end"/>
      </w:r>
      <w:r>
        <w:rPr>
          <w:rFonts w:hint="eastAsia"/>
          <w:szCs w:val="21"/>
          <w:lang w:eastAsia="zh-CN"/>
        </w:rPr>
        <w:t>1</w:t>
      </w:r>
    </w:p>
    <w:p>
      <w:pPr>
        <w:widowControl/>
        <w:tabs>
          <w:tab w:val="right" w:leader="dot" w:pos="8306"/>
        </w:tabs>
        <w:snapToGrid w:val="0"/>
        <w:spacing w:line="360" w:lineRule="auto"/>
        <w:jc w:val="center"/>
        <w:rPr>
          <w:szCs w:val="21"/>
          <w:lang w:eastAsia="zh-CN"/>
        </w:rPr>
      </w:pPr>
      <w:r>
        <w:fldChar w:fldCharType="begin"/>
      </w:r>
      <w:r>
        <w:instrText xml:space="preserve"> HYPERLINK \l "_Toc18410" </w:instrText>
      </w:r>
      <w:r>
        <w:fldChar w:fldCharType="separate"/>
      </w:r>
      <w:r>
        <w:rPr>
          <w:rFonts w:hint="eastAsia"/>
          <w:szCs w:val="21"/>
          <w:lang w:eastAsia="zh-CN"/>
        </w:rPr>
        <w:t>4 能力分级与要求</w:t>
      </w:r>
      <w:r>
        <w:rPr>
          <w:rFonts w:hint="eastAsia"/>
          <w:szCs w:val="21"/>
          <w:lang w:eastAsia="zh-CN"/>
        </w:rPr>
        <w:tab/>
      </w:r>
      <w:r>
        <w:rPr>
          <w:rFonts w:hint="eastAsia"/>
          <w:szCs w:val="21"/>
          <w:lang w:eastAsia="zh-CN"/>
        </w:rPr>
        <w:t xml:space="preserve">2 </w:t>
      </w:r>
      <w:r>
        <w:rPr>
          <w:rFonts w:hint="eastAsia"/>
          <w:szCs w:val="21"/>
          <w:lang w:eastAsia="zh-CN"/>
        </w:rPr>
        <w:fldChar w:fldCharType="end"/>
      </w:r>
    </w:p>
    <w:p>
      <w:pPr>
        <w:widowControl/>
        <w:tabs>
          <w:tab w:val="right" w:leader="dot" w:pos="8306"/>
        </w:tabs>
        <w:snapToGrid w:val="0"/>
        <w:spacing w:line="360" w:lineRule="auto"/>
        <w:jc w:val="center"/>
        <w:rPr>
          <w:szCs w:val="21"/>
          <w:lang w:eastAsia="zh-CN"/>
        </w:rPr>
      </w:pPr>
      <w:r>
        <w:fldChar w:fldCharType="begin"/>
      </w:r>
      <w:r>
        <w:instrText xml:space="preserve"> HYPERLINK \l "_Toc18410" </w:instrText>
      </w:r>
      <w:r>
        <w:fldChar w:fldCharType="separate"/>
      </w:r>
      <w:r>
        <w:rPr>
          <w:rFonts w:hint="eastAsia"/>
          <w:szCs w:val="21"/>
          <w:lang w:eastAsia="zh-CN"/>
        </w:rPr>
        <w:t>5 专业知识与专业技能</w:t>
      </w:r>
      <w:r>
        <w:rPr>
          <w:rFonts w:hint="eastAsia"/>
          <w:szCs w:val="21"/>
          <w:lang w:eastAsia="zh-CN"/>
        </w:rPr>
        <w:tab/>
      </w:r>
      <w:r>
        <w:rPr>
          <w:rFonts w:hint="eastAsia"/>
          <w:szCs w:val="21"/>
          <w:lang w:eastAsia="zh-CN"/>
        </w:rPr>
        <w:fldChar w:fldCharType="end"/>
      </w:r>
      <w:r>
        <w:rPr>
          <w:rFonts w:hint="eastAsia"/>
          <w:szCs w:val="21"/>
          <w:lang w:eastAsia="zh-CN"/>
        </w:rPr>
        <w:t>4</w:t>
      </w:r>
    </w:p>
    <w:p>
      <w:pPr>
        <w:widowControl/>
        <w:tabs>
          <w:tab w:val="right" w:leader="dot" w:pos="8306"/>
        </w:tabs>
        <w:snapToGrid w:val="0"/>
        <w:spacing w:line="360" w:lineRule="auto"/>
        <w:jc w:val="center"/>
        <w:rPr>
          <w:szCs w:val="21"/>
          <w:lang w:eastAsia="zh-CN"/>
        </w:rPr>
      </w:pPr>
      <w:r>
        <w:rPr>
          <w:rFonts w:hint="eastAsia"/>
          <w:szCs w:val="21"/>
          <w:lang w:eastAsia="zh-CN"/>
        </w:rPr>
        <w:t>6</w:t>
      </w:r>
      <w:r>
        <w:rPr>
          <w:szCs w:val="21"/>
          <w:lang w:eastAsia="zh-CN"/>
        </w:rPr>
        <w:t xml:space="preserve"> </w:t>
      </w:r>
      <w:r>
        <w:rPr>
          <w:rFonts w:hint="eastAsia"/>
          <w:szCs w:val="21"/>
          <w:lang w:eastAsia="zh-CN"/>
        </w:rPr>
        <w:t>专业能力培训</w:t>
      </w:r>
      <w:r>
        <w:rPr>
          <w:rFonts w:hint="eastAsia"/>
          <w:szCs w:val="21"/>
          <w:lang w:eastAsia="zh-CN"/>
        </w:rPr>
        <w:tab/>
      </w:r>
      <w:r>
        <w:rPr>
          <w:rFonts w:hint="eastAsia"/>
          <w:szCs w:val="21"/>
          <w:lang w:eastAsia="zh-CN"/>
        </w:rPr>
        <w:t>7</w:t>
      </w:r>
    </w:p>
    <w:p>
      <w:pPr>
        <w:widowControl/>
        <w:tabs>
          <w:tab w:val="right" w:leader="dot" w:pos="8306"/>
        </w:tabs>
        <w:snapToGrid w:val="0"/>
        <w:spacing w:line="360" w:lineRule="auto"/>
        <w:jc w:val="center"/>
        <w:rPr>
          <w:szCs w:val="21"/>
          <w:lang w:eastAsia="zh-CN"/>
        </w:rPr>
      </w:pPr>
      <w:r>
        <w:rPr>
          <w:rFonts w:hint="eastAsia"/>
          <w:szCs w:val="21"/>
          <w:lang w:eastAsia="zh-CN"/>
        </w:rPr>
        <w:t>7 专业能力评价</w:t>
      </w:r>
      <w:r>
        <w:rPr>
          <w:rFonts w:hint="eastAsia"/>
          <w:szCs w:val="21"/>
          <w:lang w:eastAsia="zh-CN"/>
        </w:rPr>
        <w:tab/>
      </w:r>
      <w:r>
        <w:rPr>
          <w:rFonts w:hint="eastAsia"/>
          <w:szCs w:val="21"/>
          <w:lang w:eastAsia="zh-CN"/>
        </w:rPr>
        <w:t>9</w:t>
      </w:r>
    </w:p>
    <w:p>
      <w:pPr>
        <w:widowControl/>
        <w:tabs>
          <w:tab w:val="right" w:leader="dot" w:pos="8306"/>
        </w:tabs>
        <w:snapToGrid w:val="0"/>
        <w:spacing w:line="360" w:lineRule="auto"/>
        <w:jc w:val="center"/>
        <w:rPr>
          <w:szCs w:val="21"/>
          <w:lang w:eastAsia="zh-CN"/>
        </w:rPr>
      </w:pPr>
    </w:p>
    <w:p>
      <w:pPr>
        <w:widowControl/>
        <w:tabs>
          <w:tab w:val="right" w:leader="dot" w:pos="8306"/>
        </w:tabs>
        <w:snapToGrid w:val="0"/>
        <w:spacing w:line="360" w:lineRule="auto"/>
        <w:jc w:val="center"/>
        <w:rPr>
          <w:szCs w:val="21"/>
          <w:lang w:eastAsia="zh-CN"/>
        </w:rPr>
      </w:pPr>
      <w:r>
        <w:rPr>
          <w:rFonts w:hint="eastAsia"/>
          <w:szCs w:val="21"/>
          <w:lang w:eastAsia="zh-CN"/>
        </w:rPr>
        <w:t>8</w:t>
      </w:r>
      <w:r>
        <w:rPr>
          <w:szCs w:val="21"/>
          <w:lang w:eastAsia="zh-CN"/>
        </w:rPr>
        <w:t xml:space="preserve"> </w:t>
      </w:r>
      <w:r>
        <w:rPr>
          <w:rFonts w:hint="eastAsia"/>
          <w:szCs w:val="21"/>
          <w:lang w:eastAsia="zh-CN"/>
        </w:rPr>
        <w:t>附录A（规范性）</w:t>
      </w:r>
      <w:r>
        <w:rPr>
          <w:rFonts w:hint="eastAsia"/>
          <w:szCs w:val="21"/>
          <w:lang w:eastAsia="zh-CN"/>
        </w:rPr>
        <w:tab/>
      </w:r>
      <w:r>
        <w:rPr>
          <w:rFonts w:hint="eastAsia"/>
          <w:szCs w:val="21"/>
          <w:lang w:eastAsia="zh-CN"/>
        </w:rPr>
        <w:t>12</w:t>
      </w:r>
    </w:p>
    <w:p>
      <w:pPr>
        <w:widowControl/>
        <w:tabs>
          <w:tab w:val="right" w:leader="dot" w:pos="8306"/>
        </w:tabs>
        <w:snapToGrid w:val="0"/>
        <w:spacing w:line="360" w:lineRule="auto"/>
        <w:jc w:val="center"/>
        <w:rPr>
          <w:szCs w:val="21"/>
          <w:lang w:eastAsia="zh-CN"/>
        </w:rPr>
      </w:pPr>
      <w:r>
        <w:rPr>
          <w:rFonts w:hint="eastAsia"/>
          <w:szCs w:val="21"/>
          <w:lang w:eastAsia="zh-CN"/>
        </w:rPr>
        <w:t>8</w:t>
      </w:r>
      <w:r>
        <w:rPr>
          <w:szCs w:val="21"/>
          <w:lang w:eastAsia="zh-CN"/>
        </w:rPr>
        <w:t xml:space="preserve"> </w:t>
      </w:r>
      <w:r>
        <w:rPr>
          <w:rFonts w:hint="eastAsia"/>
          <w:szCs w:val="21"/>
          <w:lang w:eastAsia="zh-CN"/>
        </w:rPr>
        <w:t>附录B（资料性）</w:t>
      </w:r>
      <w:r>
        <w:rPr>
          <w:rFonts w:hint="eastAsia"/>
          <w:szCs w:val="21"/>
          <w:lang w:eastAsia="zh-CN"/>
        </w:rPr>
        <w:tab/>
      </w:r>
      <w:r>
        <w:rPr>
          <w:rFonts w:hint="eastAsia"/>
          <w:szCs w:val="21"/>
          <w:lang w:eastAsia="zh-CN"/>
        </w:rPr>
        <w:t>14</w:t>
      </w:r>
    </w:p>
    <w:p>
      <w:pPr>
        <w:widowControl/>
        <w:tabs>
          <w:tab w:val="right" w:leader="dot" w:pos="8306"/>
        </w:tabs>
        <w:snapToGrid w:val="0"/>
        <w:spacing w:line="360" w:lineRule="auto"/>
        <w:jc w:val="center"/>
        <w:rPr>
          <w:szCs w:val="21"/>
          <w:lang w:eastAsia="zh-CN"/>
        </w:rPr>
      </w:pPr>
    </w:p>
    <w:p>
      <w:pPr>
        <w:widowControl/>
        <w:tabs>
          <w:tab w:val="right" w:leader="dot" w:pos="8306"/>
        </w:tabs>
        <w:snapToGrid w:val="0"/>
        <w:spacing w:line="360" w:lineRule="auto"/>
        <w:jc w:val="center"/>
        <w:rPr>
          <w:szCs w:val="21"/>
          <w:lang w:eastAsia="zh-CN"/>
        </w:rPr>
      </w:pPr>
      <w:r>
        <w:rPr>
          <w:rFonts w:hint="eastAsia"/>
          <w:szCs w:val="21"/>
          <w:lang w:eastAsia="zh-CN"/>
        </w:rPr>
        <w:t>表 1</w:t>
      </w:r>
      <w:r>
        <w:rPr>
          <w:rFonts w:hint="eastAsia"/>
          <w:szCs w:val="21"/>
          <w:lang w:eastAsia="zh-CN"/>
        </w:rPr>
        <w:tab/>
      </w:r>
      <w:r>
        <w:rPr>
          <w:rFonts w:hint="eastAsia"/>
          <w:szCs w:val="21"/>
          <w:lang w:eastAsia="zh-CN"/>
        </w:rPr>
        <w:t>4</w:t>
      </w:r>
    </w:p>
    <w:p>
      <w:pPr>
        <w:widowControl/>
        <w:tabs>
          <w:tab w:val="right" w:leader="dot" w:pos="8306"/>
        </w:tabs>
        <w:snapToGrid w:val="0"/>
        <w:spacing w:line="360" w:lineRule="auto"/>
        <w:jc w:val="center"/>
        <w:rPr>
          <w:szCs w:val="21"/>
          <w:lang w:eastAsia="zh-CN"/>
        </w:rPr>
      </w:pPr>
      <w:r>
        <w:rPr>
          <w:rFonts w:hint="eastAsia"/>
          <w:szCs w:val="21"/>
          <w:lang w:eastAsia="zh-CN"/>
        </w:rPr>
        <w:t>表 2</w:t>
      </w:r>
      <w:r>
        <w:rPr>
          <w:rFonts w:hint="eastAsia"/>
          <w:szCs w:val="21"/>
          <w:lang w:eastAsia="zh-CN"/>
        </w:rPr>
        <w:tab/>
      </w:r>
      <w:r>
        <w:rPr>
          <w:rFonts w:hint="eastAsia"/>
          <w:szCs w:val="21"/>
          <w:lang w:eastAsia="zh-CN"/>
        </w:rPr>
        <w:t>5</w:t>
      </w:r>
    </w:p>
    <w:p>
      <w:pPr>
        <w:widowControl/>
        <w:tabs>
          <w:tab w:val="right" w:leader="dot" w:pos="8306"/>
        </w:tabs>
        <w:snapToGrid w:val="0"/>
        <w:spacing w:line="360" w:lineRule="auto"/>
        <w:jc w:val="center"/>
        <w:rPr>
          <w:szCs w:val="21"/>
          <w:lang w:eastAsia="zh-CN"/>
        </w:rPr>
      </w:pPr>
      <w:r>
        <w:rPr>
          <w:rFonts w:hint="eastAsia"/>
          <w:szCs w:val="21"/>
          <w:lang w:eastAsia="zh-CN"/>
        </w:rPr>
        <w:t>表 3</w:t>
      </w:r>
      <w:r>
        <w:rPr>
          <w:rFonts w:hint="eastAsia"/>
          <w:szCs w:val="21"/>
          <w:lang w:eastAsia="zh-CN"/>
        </w:rPr>
        <w:tab/>
      </w:r>
      <w:r>
        <w:rPr>
          <w:rFonts w:hint="eastAsia"/>
          <w:szCs w:val="21"/>
          <w:lang w:eastAsia="zh-CN"/>
        </w:rPr>
        <w:t>6</w:t>
      </w:r>
    </w:p>
    <w:p>
      <w:pPr>
        <w:widowControl/>
        <w:tabs>
          <w:tab w:val="right" w:leader="dot" w:pos="8306"/>
        </w:tabs>
        <w:snapToGrid w:val="0"/>
        <w:spacing w:line="360" w:lineRule="auto"/>
        <w:jc w:val="center"/>
        <w:rPr>
          <w:szCs w:val="21"/>
          <w:lang w:eastAsia="zh-CN"/>
        </w:rPr>
      </w:pPr>
      <w:r>
        <w:rPr>
          <w:rFonts w:hint="eastAsia"/>
          <w:szCs w:val="21"/>
          <w:lang w:eastAsia="zh-CN"/>
        </w:rPr>
        <w:t>表 4</w:t>
      </w:r>
      <w:r>
        <w:rPr>
          <w:rFonts w:hint="eastAsia"/>
          <w:szCs w:val="21"/>
          <w:lang w:eastAsia="zh-CN"/>
        </w:rPr>
        <w:tab/>
      </w:r>
      <w:r>
        <w:rPr>
          <w:rFonts w:hint="eastAsia"/>
          <w:szCs w:val="21"/>
          <w:lang w:eastAsia="zh-CN"/>
        </w:rPr>
        <w:t>7</w:t>
      </w:r>
    </w:p>
    <w:p>
      <w:pPr>
        <w:widowControl/>
        <w:tabs>
          <w:tab w:val="right" w:leader="dot" w:pos="8306"/>
        </w:tabs>
        <w:snapToGrid w:val="0"/>
        <w:spacing w:line="360" w:lineRule="auto"/>
        <w:jc w:val="center"/>
        <w:rPr>
          <w:szCs w:val="21"/>
          <w:lang w:eastAsia="zh-CN"/>
        </w:rPr>
      </w:pPr>
      <w:r>
        <w:rPr>
          <w:rFonts w:hint="eastAsia"/>
          <w:szCs w:val="21"/>
          <w:lang w:eastAsia="zh-CN"/>
        </w:rPr>
        <w:t>表 5</w:t>
      </w:r>
      <w:r>
        <w:rPr>
          <w:rFonts w:hint="eastAsia"/>
          <w:szCs w:val="21"/>
          <w:lang w:eastAsia="zh-CN"/>
        </w:rPr>
        <w:tab/>
      </w:r>
      <w:r>
        <w:rPr>
          <w:rFonts w:hint="eastAsia"/>
          <w:szCs w:val="21"/>
          <w:lang w:eastAsia="zh-CN"/>
        </w:rPr>
        <w:t>8</w:t>
      </w:r>
    </w:p>
    <w:p>
      <w:pPr>
        <w:widowControl/>
        <w:tabs>
          <w:tab w:val="right" w:leader="dot" w:pos="8306"/>
        </w:tabs>
        <w:snapToGrid w:val="0"/>
        <w:spacing w:line="360" w:lineRule="auto"/>
        <w:jc w:val="center"/>
        <w:rPr>
          <w:szCs w:val="21"/>
          <w:lang w:eastAsia="zh-CN"/>
        </w:rPr>
      </w:pPr>
      <w:r>
        <w:rPr>
          <w:rFonts w:hint="eastAsia"/>
          <w:szCs w:val="21"/>
          <w:lang w:eastAsia="zh-CN"/>
        </w:rPr>
        <w:t>表 6</w:t>
      </w:r>
      <w:r>
        <w:rPr>
          <w:rFonts w:hint="eastAsia"/>
          <w:szCs w:val="21"/>
          <w:lang w:eastAsia="zh-CN"/>
        </w:rPr>
        <w:tab/>
      </w:r>
      <w:r>
        <w:rPr>
          <w:rFonts w:hint="eastAsia"/>
          <w:szCs w:val="21"/>
          <w:lang w:eastAsia="zh-CN"/>
        </w:rPr>
        <w:t>10</w:t>
      </w:r>
    </w:p>
    <w:p>
      <w:pPr>
        <w:widowControl/>
        <w:tabs>
          <w:tab w:val="right" w:leader="dot" w:pos="8306"/>
        </w:tabs>
        <w:snapToGrid w:val="0"/>
        <w:spacing w:line="360" w:lineRule="auto"/>
        <w:jc w:val="center"/>
        <w:rPr>
          <w:szCs w:val="21"/>
          <w:lang w:eastAsia="zh-CN"/>
        </w:rPr>
      </w:pPr>
    </w:p>
    <w:p>
      <w:pPr>
        <w:widowControl/>
        <w:tabs>
          <w:tab w:val="right" w:leader="dot" w:pos="8306"/>
        </w:tabs>
        <w:snapToGrid w:val="0"/>
        <w:spacing w:line="360" w:lineRule="auto"/>
        <w:rPr>
          <w:szCs w:val="21"/>
          <w:lang w:eastAsia="zh-CN"/>
        </w:rPr>
      </w:pPr>
    </w:p>
    <w:p>
      <w:pPr>
        <w:rPr>
          <w:lang w:eastAsia="zh-CN"/>
        </w:rPr>
      </w:pPr>
    </w:p>
    <w:p>
      <w:pPr>
        <w:jc w:val="center"/>
        <w:rPr>
          <w:szCs w:val="21"/>
          <w:lang w:eastAsia="zh-CN"/>
        </w:rPr>
      </w:pPr>
    </w:p>
    <w:p>
      <w:pPr>
        <w:rPr>
          <w:lang w:eastAsia="zh-CN"/>
        </w:rPr>
      </w:pPr>
    </w:p>
    <w:p>
      <w:pPr>
        <w:rPr>
          <w:lang w:eastAsia="zh-CN"/>
        </w:rPr>
      </w:pPr>
    </w:p>
    <w:p>
      <w:pPr>
        <w:rPr>
          <w:color w:val="0000FF"/>
          <w:lang w:eastAsia="zh-CN"/>
        </w:rPr>
      </w:pPr>
    </w:p>
    <w:p>
      <w:pPr>
        <w:rPr>
          <w:color w:val="0000FF"/>
          <w:lang w:eastAsia="zh-CN"/>
        </w:rPr>
      </w:pPr>
    </w:p>
    <w:p>
      <w:pPr>
        <w:rPr>
          <w:color w:val="0000FF"/>
          <w:lang w:eastAsia="zh-CN"/>
        </w:rPr>
      </w:pPr>
    </w:p>
    <w:p>
      <w:pPr>
        <w:rPr>
          <w:color w:val="0000FF"/>
          <w:lang w:eastAsia="zh-CN"/>
        </w:rPr>
      </w:pPr>
    </w:p>
    <w:p>
      <w:pPr>
        <w:rPr>
          <w:color w:val="FF0000"/>
          <w:lang w:eastAsia="zh-CN"/>
        </w:rPr>
      </w:pPr>
    </w:p>
    <w:p>
      <w:pPr>
        <w:rPr>
          <w:lang w:eastAsia="zh-CN"/>
        </w:rPr>
      </w:pPr>
    </w:p>
    <w:p>
      <w:pPr>
        <w:pStyle w:val="13"/>
        <w:spacing w:line="360" w:lineRule="auto"/>
        <w:ind w:firstLine="0" w:firstLineChars="0"/>
        <w:jc w:val="center"/>
        <w:outlineLvl w:val="0"/>
        <w:rPr>
          <w:rFonts w:ascii="黑体" w:hAnsi="黑体" w:eastAsia="黑体"/>
          <w:sz w:val="32"/>
          <w:szCs w:val="32"/>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pStyle w:val="13"/>
        <w:spacing w:line="360" w:lineRule="auto"/>
        <w:ind w:firstLine="0" w:firstLineChars="0"/>
        <w:jc w:val="center"/>
        <w:outlineLvl w:val="0"/>
        <w:rPr>
          <w:rFonts w:ascii="黑体" w:hAnsi="黑体" w:eastAsia="黑体"/>
          <w:sz w:val="32"/>
          <w:szCs w:val="32"/>
        </w:rPr>
      </w:pPr>
      <w:r>
        <w:rPr>
          <w:rFonts w:hint="eastAsia" w:ascii="黑体" w:hAnsi="黑体" w:eastAsia="黑体"/>
          <w:sz w:val="32"/>
          <w:szCs w:val="32"/>
        </w:rPr>
        <w:t>前</w:t>
      </w:r>
      <w:bookmarkStart w:id="0" w:name="BKQY"/>
      <w:r>
        <w:rPr>
          <w:rFonts w:hint="eastAsia" w:ascii="黑体" w:hAnsi="黑体" w:eastAsia="黑体"/>
          <w:sz w:val="32"/>
          <w:szCs w:val="32"/>
        </w:rPr>
        <w:t xml:space="preserve">    言</w:t>
      </w:r>
      <w:bookmarkEnd w:id="0"/>
    </w:p>
    <w:p>
      <w:pPr>
        <w:pStyle w:val="13"/>
        <w:spacing w:line="600" w:lineRule="exact"/>
        <w:ind w:firstLine="480"/>
        <w:jc w:val="center"/>
        <w:rPr>
          <w:rFonts w:ascii="方正仿宋简体" w:hAnsi="方正仿宋简体" w:eastAsia="方正仿宋简体" w:cs="方正仿宋简体"/>
          <w:sz w:val="24"/>
          <w:szCs w:val="24"/>
        </w:rPr>
      </w:pPr>
    </w:p>
    <w:p>
      <w:pPr>
        <w:pStyle w:val="13"/>
        <w:spacing w:line="360" w:lineRule="auto"/>
        <w:rPr>
          <w:rFonts w:hAnsi="宋体"/>
          <w:szCs w:val="21"/>
        </w:rPr>
      </w:pPr>
      <w:r>
        <w:rPr>
          <w:rFonts w:hint="eastAsia" w:hAnsi="宋体"/>
          <w:szCs w:val="21"/>
        </w:rPr>
        <w:t>本标准按照GB/T 1.1-2020《标准化工作导则 第1部分：标准化文件的结构和起草规则》的规</w:t>
      </w:r>
      <w:r>
        <w:rPr>
          <w:rFonts w:hAnsi="宋体"/>
          <w:szCs w:val="21"/>
        </w:rPr>
        <w:t>则</w:t>
      </w:r>
      <w:r>
        <w:rPr>
          <w:rFonts w:hint="eastAsia" w:hAnsi="宋体"/>
          <w:szCs w:val="21"/>
        </w:rPr>
        <w:t>起草。</w:t>
      </w:r>
    </w:p>
    <w:p>
      <w:pPr>
        <w:pStyle w:val="13"/>
        <w:spacing w:line="360" w:lineRule="auto"/>
        <w:rPr>
          <w:rFonts w:hAnsi="宋体"/>
          <w:szCs w:val="21"/>
        </w:rPr>
      </w:pPr>
      <w:r>
        <w:rPr>
          <w:rFonts w:hint="eastAsia" w:hAnsi="宋体"/>
          <w:szCs w:val="21"/>
        </w:rPr>
        <w:t>本标准由北京国富如荷网络科技有限公司、北京评谷教育科技有限公司、北京金多多教育咨询有限公司、中国大数据产业生态联盟、电子工业出版社有限公司、成都大数据产业联盟、中华数据挖掘协会联合提出。</w:t>
      </w:r>
    </w:p>
    <w:p>
      <w:pPr>
        <w:pStyle w:val="13"/>
        <w:spacing w:line="360" w:lineRule="auto"/>
        <w:rPr>
          <w:szCs w:val="21"/>
        </w:rPr>
      </w:pPr>
      <w:r>
        <w:rPr>
          <w:rFonts w:hint="eastAsia"/>
          <w:szCs w:val="21"/>
        </w:rPr>
        <w:t>本标准由中国成人教育协会归口。</w:t>
      </w:r>
    </w:p>
    <w:p>
      <w:pPr>
        <w:pStyle w:val="13"/>
        <w:spacing w:line="360" w:lineRule="auto"/>
        <w:rPr>
          <w:rFonts w:hAnsi="宋体"/>
          <w:szCs w:val="21"/>
        </w:rPr>
      </w:pPr>
      <w:r>
        <w:rPr>
          <w:rFonts w:hint="eastAsia" w:hAnsi="宋体"/>
          <w:szCs w:val="21"/>
        </w:rPr>
        <w:t>本标准起草单位：</w:t>
      </w:r>
      <w:bookmarkStart w:id="1" w:name="_Hlk57712442"/>
      <w:r>
        <w:rPr>
          <w:rFonts w:hint="eastAsia" w:hAnsi="宋体"/>
          <w:szCs w:val="21"/>
        </w:rPr>
        <w:t>北京国富如荷网络科技有限公司</w:t>
      </w:r>
      <w:bookmarkEnd w:id="1"/>
      <w:r>
        <w:rPr>
          <w:rFonts w:hint="eastAsia" w:hAnsi="宋体"/>
          <w:szCs w:val="21"/>
        </w:rPr>
        <w:t>。</w:t>
      </w:r>
    </w:p>
    <w:p>
      <w:pPr>
        <w:pStyle w:val="13"/>
        <w:spacing w:line="360" w:lineRule="auto"/>
        <w:rPr>
          <w:rFonts w:hAnsi="宋体"/>
          <w:szCs w:val="21"/>
        </w:rPr>
      </w:pPr>
      <w:r>
        <w:rPr>
          <w:rFonts w:hint="eastAsia" w:hAnsi="宋体"/>
          <w:szCs w:val="21"/>
        </w:rPr>
        <w:t>本标准主要起草人：赵坚毅、覃智勇、谢邦昌、林漳希、付波、张涵诚、梁福坤、李御玺、曹正凤、常国珍、傅毅、赵卫东、熊巍、董四辈、王学武、徐刚、王兵、丁亚军、傅毅、刘建兵、曹鑫、胡忠、王安、叶良、李奇、王玉玺、冯仁杰。</w:t>
      </w:r>
    </w:p>
    <w:p>
      <w:pPr>
        <w:pStyle w:val="13"/>
        <w:spacing w:line="360" w:lineRule="auto"/>
        <w:ind w:firstLine="0" w:firstLineChars="0"/>
        <w:jc w:val="center"/>
        <w:outlineLvl w:val="0"/>
        <w:rPr>
          <w:rFonts w:hint="eastAsia" w:ascii="黑体" w:hAnsi="黑体" w:eastAsia="黑体"/>
          <w:sz w:val="32"/>
          <w:szCs w:val="32"/>
        </w:rPr>
      </w:pPr>
    </w:p>
    <w:p>
      <w:pPr>
        <w:pStyle w:val="13"/>
        <w:spacing w:line="360" w:lineRule="auto"/>
        <w:ind w:firstLine="0" w:firstLineChars="0"/>
        <w:jc w:val="center"/>
        <w:outlineLvl w:val="0"/>
        <w:rPr>
          <w:rFonts w:hint="eastAsia" w:ascii="黑体" w:hAnsi="黑体" w:eastAsia="黑体"/>
          <w:sz w:val="32"/>
          <w:szCs w:val="32"/>
        </w:rPr>
      </w:pPr>
    </w:p>
    <w:p>
      <w:pPr>
        <w:pStyle w:val="13"/>
        <w:spacing w:line="360" w:lineRule="auto"/>
        <w:ind w:firstLine="0" w:firstLineChars="0"/>
        <w:jc w:val="center"/>
        <w:outlineLvl w:val="0"/>
        <w:rPr>
          <w:rFonts w:hint="eastAsia" w:ascii="黑体" w:hAnsi="黑体" w:eastAsia="黑体"/>
          <w:sz w:val="32"/>
          <w:szCs w:val="32"/>
        </w:rPr>
      </w:pPr>
    </w:p>
    <w:p>
      <w:pPr>
        <w:pStyle w:val="13"/>
        <w:spacing w:line="360" w:lineRule="auto"/>
        <w:ind w:firstLine="0" w:firstLineChars="0"/>
        <w:jc w:val="center"/>
        <w:outlineLvl w:val="0"/>
        <w:rPr>
          <w:rFonts w:hint="eastAsia" w:ascii="黑体" w:hAnsi="黑体" w:eastAsia="黑体"/>
          <w:sz w:val="32"/>
          <w:szCs w:val="32"/>
        </w:rPr>
      </w:pPr>
    </w:p>
    <w:p>
      <w:pPr>
        <w:pStyle w:val="13"/>
        <w:spacing w:line="360" w:lineRule="auto"/>
        <w:ind w:firstLine="0" w:firstLineChars="0"/>
        <w:jc w:val="center"/>
        <w:outlineLvl w:val="0"/>
        <w:rPr>
          <w:rFonts w:hint="eastAsia" w:ascii="黑体" w:hAnsi="黑体" w:eastAsia="黑体"/>
          <w:sz w:val="32"/>
          <w:szCs w:val="32"/>
        </w:rPr>
      </w:pPr>
    </w:p>
    <w:p>
      <w:pPr>
        <w:pStyle w:val="13"/>
        <w:spacing w:line="360" w:lineRule="auto"/>
        <w:ind w:firstLine="0" w:firstLineChars="0"/>
        <w:jc w:val="center"/>
        <w:outlineLvl w:val="0"/>
        <w:rPr>
          <w:rFonts w:hint="eastAsia" w:ascii="黑体" w:hAnsi="黑体" w:eastAsia="黑体"/>
          <w:sz w:val="32"/>
          <w:szCs w:val="32"/>
        </w:rPr>
      </w:pPr>
    </w:p>
    <w:p>
      <w:pPr>
        <w:pStyle w:val="13"/>
        <w:spacing w:line="360" w:lineRule="auto"/>
        <w:ind w:firstLine="0" w:firstLineChars="0"/>
        <w:jc w:val="center"/>
        <w:outlineLvl w:val="0"/>
        <w:rPr>
          <w:rFonts w:hint="eastAsia" w:ascii="黑体" w:hAnsi="黑体" w:eastAsia="黑体"/>
          <w:sz w:val="32"/>
          <w:szCs w:val="32"/>
        </w:rPr>
      </w:pPr>
    </w:p>
    <w:p>
      <w:pPr>
        <w:pStyle w:val="13"/>
        <w:spacing w:line="360" w:lineRule="auto"/>
        <w:ind w:firstLine="0" w:firstLineChars="0"/>
        <w:jc w:val="center"/>
        <w:outlineLvl w:val="0"/>
        <w:rPr>
          <w:rFonts w:hint="eastAsia" w:ascii="黑体" w:hAnsi="黑体" w:eastAsia="黑体"/>
          <w:sz w:val="32"/>
          <w:szCs w:val="32"/>
        </w:rPr>
      </w:pPr>
    </w:p>
    <w:p>
      <w:pPr>
        <w:pStyle w:val="13"/>
        <w:spacing w:line="360" w:lineRule="auto"/>
        <w:ind w:firstLine="0" w:firstLineChars="0"/>
        <w:jc w:val="center"/>
        <w:outlineLvl w:val="0"/>
        <w:rPr>
          <w:rFonts w:hint="eastAsia" w:ascii="黑体" w:hAnsi="黑体" w:eastAsia="黑体"/>
          <w:sz w:val="32"/>
          <w:szCs w:val="32"/>
        </w:rPr>
      </w:pPr>
    </w:p>
    <w:p>
      <w:pPr>
        <w:pStyle w:val="13"/>
        <w:spacing w:line="360" w:lineRule="auto"/>
        <w:ind w:firstLine="0" w:firstLineChars="0"/>
        <w:jc w:val="center"/>
        <w:outlineLvl w:val="0"/>
        <w:rPr>
          <w:rFonts w:hint="eastAsia" w:ascii="黑体" w:hAnsi="黑体" w:eastAsia="黑体"/>
          <w:sz w:val="32"/>
          <w:szCs w:val="32"/>
        </w:rPr>
      </w:pPr>
    </w:p>
    <w:p>
      <w:pPr>
        <w:pStyle w:val="13"/>
        <w:spacing w:line="360" w:lineRule="auto"/>
        <w:ind w:firstLine="0" w:firstLineChars="0"/>
        <w:jc w:val="center"/>
        <w:outlineLvl w:val="0"/>
        <w:rPr>
          <w:rFonts w:hint="eastAsia" w:ascii="黑体" w:hAnsi="黑体" w:eastAsia="黑体"/>
          <w:sz w:val="32"/>
          <w:szCs w:val="32"/>
        </w:rPr>
      </w:pPr>
    </w:p>
    <w:p>
      <w:pPr>
        <w:pStyle w:val="13"/>
        <w:spacing w:line="360" w:lineRule="auto"/>
        <w:ind w:firstLine="0" w:firstLineChars="0"/>
        <w:jc w:val="center"/>
        <w:outlineLvl w:val="0"/>
        <w:rPr>
          <w:rFonts w:hint="eastAsia" w:ascii="黑体" w:hAnsi="黑体" w:eastAsia="黑体"/>
          <w:sz w:val="32"/>
          <w:szCs w:val="32"/>
        </w:rPr>
      </w:pPr>
    </w:p>
    <w:p>
      <w:pPr>
        <w:pStyle w:val="13"/>
        <w:spacing w:line="360" w:lineRule="auto"/>
        <w:ind w:firstLine="0" w:firstLineChars="0"/>
        <w:jc w:val="center"/>
        <w:outlineLvl w:val="0"/>
        <w:rPr>
          <w:rFonts w:hint="eastAsia" w:ascii="黑体" w:hAnsi="黑体" w:eastAsia="黑体"/>
          <w:sz w:val="32"/>
          <w:szCs w:val="32"/>
        </w:rPr>
      </w:pPr>
    </w:p>
    <w:p>
      <w:pPr>
        <w:pStyle w:val="13"/>
        <w:spacing w:line="360" w:lineRule="auto"/>
        <w:ind w:firstLine="0" w:firstLineChars="0"/>
        <w:jc w:val="center"/>
        <w:outlineLvl w:val="0"/>
        <w:rPr>
          <w:rFonts w:ascii="黑体" w:hAnsi="黑体" w:eastAsia="黑体"/>
          <w:sz w:val="32"/>
          <w:szCs w:val="32"/>
        </w:rPr>
      </w:pPr>
      <w:r>
        <w:rPr>
          <w:rFonts w:hint="eastAsia" w:ascii="黑体" w:hAnsi="黑体" w:eastAsia="黑体"/>
          <w:sz w:val="32"/>
          <w:szCs w:val="32"/>
        </w:rPr>
        <w:t>引    言</w:t>
      </w:r>
    </w:p>
    <w:p>
      <w:pPr>
        <w:pStyle w:val="13"/>
        <w:spacing w:line="360" w:lineRule="auto"/>
        <w:ind w:firstLine="0" w:firstLineChars="0"/>
        <w:jc w:val="center"/>
        <w:outlineLvl w:val="0"/>
        <w:rPr>
          <w:rFonts w:ascii="黑体" w:hAnsi="黑体" w:eastAsia="黑体"/>
          <w:b/>
          <w:bCs/>
          <w:sz w:val="32"/>
          <w:szCs w:val="32"/>
        </w:rPr>
      </w:pPr>
    </w:p>
    <w:p>
      <w:pPr>
        <w:pStyle w:val="13"/>
        <w:spacing w:line="360" w:lineRule="auto"/>
        <w:rPr>
          <w:rFonts w:hAnsi="宋体"/>
          <w:szCs w:val="21"/>
        </w:rPr>
      </w:pPr>
      <w:r>
        <w:rPr>
          <w:rFonts w:hint="eastAsia" w:hAnsi="宋体"/>
          <w:szCs w:val="21"/>
        </w:rPr>
        <w:t>随着5G技术的推广和应用，物联网的发展和普及，使整个社会进入了大数据时代。</w:t>
      </w:r>
      <w:r>
        <w:rPr>
          <w:rFonts w:hAnsi="宋体"/>
          <w:szCs w:val="21"/>
        </w:rPr>
        <w:t>加快数字化发展</w:t>
      </w:r>
      <w:r>
        <w:rPr>
          <w:rFonts w:hint="eastAsia" w:hAnsi="宋体"/>
          <w:szCs w:val="21"/>
        </w:rPr>
        <w:t>，</w:t>
      </w:r>
      <w:r>
        <w:rPr>
          <w:rFonts w:hAnsi="宋体"/>
          <w:szCs w:val="21"/>
        </w:rPr>
        <w:t>发展数字经济，推进数字产业化和产业数字化，推动数字经济和实体经济深度融合，打造具有国际竞争力的数字产业集群。</w:t>
      </w:r>
      <w:r>
        <w:rPr>
          <w:rFonts w:hint="eastAsia" w:hAnsi="宋体"/>
          <w:szCs w:val="21"/>
        </w:rPr>
        <w:t>准确、合理和专业的分析处理大数据则是必要的手段，因此，如何有效地对数据分析师进行技能培训，成为关系到当今世界各国发展战略的重大问题。</w:t>
      </w:r>
    </w:p>
    <w:p>
      <w:pPr>
        <w:pStyle w:val="13"/>
        <w:spacing w:line="360" w:lineRule="auto"/>
        <w:rPr>
          <w:rFonts w:hAnsi="宋体"/>
          <w:szCs w:val="21"/>
        </w:rPr>
      </w:pPr>
      <w:r>
        <w:rPr>
          <w:rFonts w:hint="eastAsia" w:hAnsi="宋体"/>
          <w:szCs w:val="21"/>
        </w:rPr>
        <w:t>一套专业性强和明确的能力培训标准，对数据分析的从业人员能力形成尤为重要。标准的建立，是在明确了数据分析师岗位技能要求的同时，也对数据分析师的培训做出了专业性的规范要求。其将对于整个数据分析行业的发展，具有重要的现实意义。同时，随着“一带一路”国家战略的开展以及全球一体化的趋势增强，一套专业和先进的数据分析师岗位能力认证标准更符合全世界对数字经济和数字科学领域人才发展的需求。</w:t>
      </w:r>
    </w:p>
    <w:p>
      <w:pPr>
        <w:pStyle w:val="13"/>
        <w:spacing w:line="360" w:lineRule="auto"/>
        <w:rPr>
          <w:rFonts w:hAnsi="宋体"/>
          <w:szCs w:val="21"/>
        </w:rPr>
      </w:pPr>
      <w:r>
        <w:rPr>
          <w:rFonts w:hint="eastAsia" w:hAnsi="宋体"/>
          <w:szCs w:val="21"/>
        </w:rPr>
        <w:t>本标准为首次发布,其根据数据分析师不同工作任务的层次要求，将数据分析师划分为初、中、高三个技术级别，并明确了其对应服务的工作领域、工作任务及职业技能要求，明确了其所应培训的专业知识和所应训练形成的专业技能，以及能力评价的具体要求。</w:t>
      </w:r>
    </w:p>
    <w:p>
      <w:pPr>
        <w:pStyle w:val="13"/>
        <w:spacing w:line="360" w:lineRule="auto"/>
        <w:ind w:firstLine="0" w:firstLineChars="0"/>
        <w:outlineLvl w:val="0"/>
        <w:rPr>
          <w:rFonts w:hAnsi="宋体"/>
          <w:sz w:val="28"/>
          <w:szCs w:val="28"/>
        </w:rPr>
      </w:pPr>
      <w:r>
        <w:rPr>
          <w:rFonts w:hint="eastAsia" w:ascii="黑体" w:hAnsi="黑体" w:eastAsia="黑体"/>
          <w:b/>
          <w:bCs/>
          <w:sz w:val="28"/>
          <w:szCs w:val="28"/>
        </w:rPr>
        <w:t xml:space="preserve"> </w:t>
      </w:r>
      <w:r>
        <w:rPr>
          <w:rFonts w:ascii="黑体" w:hAnsi="黑体" w:eastAsia="黑体"/>
          <w:b/>
          <w:bCs/>
          <w:sz w:val="28"/>
          <w:szCs w:val="28"/>
        </w:rPr>
        <w:t xml:space="preserve"> </w:t>
      </w:r>
      <w:r>
        <w:rPr>
          <w:rFonts w:asciiTheme="majorEastAsia" w:hAnsiTheme="majorEastAsia" w:eastAsiaTheme="majorEastAsia"/>
          <w:sz w:val="28"/>
          <w:szCs w:val="28"/>
        </w:rPr>
        <w:t xml:space="preserve"> </w:t>
      </w:r>
    </w:p>
    <w:p>
      <w:pPr>
        <w:pStyle w:val="13"/>
        <w:spacing w:line="360" w:lineRule="auto"/>
        <w:ind w:firstLine="0" w:firstLineChars="0"/>
        <w:jc w:val="center"/>
        <w:outlineLvl w:val="0"/>
        <w:rPr>
          <w:rFonts w:ascii="黑体" w:hAnsi="黑体" w:eastAsia="黑体"/>
          <w:b/>
          <w:bCs/>
          <w:sz w:val="28"/>
          <w:szCs w:val="28"/>
        </w:rPr>
      </w:pPr>
    </w:p>
    <w:p>
      <w:pPr>
        <w:pStyle w:val="13"/>
        <w:spacing w:line="360" w:lineRule="auto"/>
        <w:ind w:firstLine="0" w:firstLineChars="0"/>
        <w:jc w:val="center"/>
        <w:outlineLvl w:val="0"/>
        <w:rPr>
          <w:rFonts w:ascii="黑体" w:hAnsi="黑体" w:eastAsia="黑体"/>
          <w:b/>
          <w:bCs/>
          <w:sz w:val="28"/>
          <w:szCs w:val="28"/>
        </w:rPr>
      </w:pPr>
    </w:p>
    <w:p>
      <w:pPr>
        <w:pStyle w:val="13"/>
        <w:spacing w:line="360" w:lineRule="auto"/>
        <w:ind w:firstLine="0" w:firstLineChars="0"/>
        <w:jc w:val="center"/>
        <w:outlineLvl w:val="0"/>
        <w:rPr>
          <w:rFonts w:ascii="黑体" w:hAnsi="黑体" w:eastAsia="黑体"/>
          <w:sz w:val="32"/>
          <w:szCs w:val="32"/>
        </w:rPr>
        <w:sectPr>
          <w:footerReference r:id="rId5" w:type="default"/>
          <w:pgSz w:w="11906" w:h="16838"/>
          <w:pgMar w:top="1440" w:right="1800" w:bottom="1440" w:left="1800" w:header="851" w:footer="992" w:gutter="0"/>
          <w:pgNumType w:fmt="upperRoman" w:start="1"/>
          <w:cols w:space="425" w:num="1"/>
          <w:docGrid w:type="lines" w:linePitch="312" w:charSpace="0"/>
        </w:sectPr>
      </w:pPr>
    </w:p>
    <w:p>
      <w:pPr>
        <w:pStyle w:val="13"/>
        <w:spacing w:line="360" w:lineRule="auto"/>
        <w:ind w:firstLine="0" w:firstLineChars="0"/>
        <w:jc w:val="center"/>
        <w:outlineLvl w:val="0"/>
        <w:rPr>
          <w:rFonts w:ascii="黑体" w:hAnsi="黑体" w:eastAsia="黑体"/>
          <w:color w:val="auto"/>
          <w:sz w:val="32"/>
          <w:szCs w:val="32"/>
        </w:rPr>
      </w:pPr>
      <w:r>
        <w:rPr>
          <w:rFonts w:hint="eastAsia" w:ascii="黑体" w:hAnsi="黑体" w:eastAsia="黑体"/>
          <w:color w:val="auto"/>
          <w:sz w:val="32"/>
          <w:szCs w:val="32"/>
        </w:rPr>
        <w:t>数据分析师能力培训标准</w:t>
      </w:r>
    </w:p>
    <w:p>
      <w:pPr>
        <w:pStyle w:val="14"/>
        <w:numPr>
          <w:ilvl w:val="0"/>
          <w:numId w:val="0"/>
        </w:numPr>
        <w:spacing w:beforeLines="0" w:afterLines="0" w:line="360" w:lineRule="auto"/>
        <w:jc w:val="center"/>
        <w:outlineLvl w:val="0"/>
        <w:rPr>
          <w:b/>
          <w:bCs/>
          <w:color w:val="auto"/>
          <w:sz w:val="28"/>
          <w:szCs w:val="28"/>
        </w:rPr>
      </w:pPr>
      <w:bookmarkStart w:id="2" w:name="_Toc10449379"/>
      <w:bookmarkStart w:id="3" w:name="_Toc311705223"/>
      <w:bookmarkStart w:id="4" w:name="_Toc4458"/>
      <w:bookmarkStart w:id="5" w:name="_Toc317597303"/>
      <w:bookmarkStart w:id="6" w:name="_Toc13337"/>
      <w:bookmarkStart w:id="7" w:name="_Toc10449957"/>
      <w:bookmarkStart w:id="8" w:name="_Toc312058602"/>
      <w:bookmarkStart w:id="9" w:name="_Toc9206518"/>
      <w:bookmarkStart w:id="10" w:name="_Toc311743864"/>
      <w:bookmarkStart w:id="11" w:name="_Toc311705334"/>
      <w:bookmarkStart w:id="12" w:name="_Toc10448171"/>
      <w:bookmarkStart w:id="13" w:name="_Toc312063236"/>
      <w:bookmarkStart w:id="14" w:name="_Toc315953585"/>
      <w:bookmarkStart w:id="15" w:name="_Toc10449822"/>
      <w:bookmarkStart w:id="16" w:name="_Toc311493693"/>
      <w:bookmarkStart w:id="17" w:name="_Toc315953471"/>
      <w:bookmarkStart w:id="18" w:name="_Toc9206294"/>
      <w:bookmarkStart w:id="19" w:name="_Toc311494302"/>
      <w:bookmarkStart w:id="20" w:name="_Toc27676"/>
      <w:bookmarkStart w:id="21" w:name="_Toc9461596"/>
      <w:bookmarkStart w:id="22" w:name="_Toc311472175"/>
      <w:bookmarkStart w:id="23" w:name="_Toc10395653"/>
      <w:bookmarkStart w:id="24" w:name="_Toc315966972"/>
      <w:bookmarkStart w:id="25" w:name="_Toc4349"/>
      <w:bookmarkStart w:id="26" w:name="_Toc312058563"/>
      <w:bookmarkStart w:id="27" w:name="_Toc311745434"/>
    </w:p>
    <w:p>
      <w:pPr>
        <w:pStyle w:val="14"/>
        <w:numPr>
          <w:ilvl w:val="0"/>
          <w:numId w:val="0"/>
        </w:numPr>
        <w:spacing w:beforeLines="0" w:afterLines="0" w:line="360" w:lineRule="auto"/>
        <w:outlineLvl w:val="0"/>
        <w:rPr>
          <w:color w:val="auto"/>
          <w:szCs w:val="21"/>
        </w:rPr>
      </w:pPr>
      <w:r>
        <w:rPr>
          <w:rFonts w:hint="eastAsia"/>
          <w:color w:val="auto"/>
          <w:szCs w:val="21"/>
        </w:rPr>
        <w:t>1</w:t>
      </w:r>
      <w:r>
        <w:rPr>
          <w:color w:val="auto"/>
          <w:szCs w:val="21"/>
        </w:rPr>
        <w:t xml:space="preserve"> </w:t>
      </w:r>
      <w:r>
        <w:rPr>
          <w:rFonts w:hint="eastAsia"/>
          <w:color w:val="auto"/>
          <w:szCs w:val="21"/>
        </w:rPr>
        <w:t>范围</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pStyle w:val="13"/>
        <w:ind w:firstLine="0" w:firstLineChars="0"/>
        <w:rPr>
          <w:color w:val="auto"/>
          <w:szCs w:val="21"/>
        </w:rPr>
      </w:pPr>
    </w:p>
    <w:p>
      <w:pPr>
        <w:pStyle w:val="13"/>
        <w:spacing w:line="360" w:lineRule="auto"/>
        <w:jc w:val="left"/>
        <w:rPr>
          <w:rFonts w:hAnsi="宋体"/>
          <w:color w:val="auto"/>
          <w:szCs w:val="21"/>
        </w:rPr>
      </w:pPr>
      <w:bookmarkStart w:id="28" w:name="_Toc311705335"/>
      <w:bookmarkStart w:id="29" w:name="_Toc311705224"/>
      <w:bookmarkStart w:id="30" w:name="_Toc311472176"/>
      <w:bookmarkStart w:id="31" w:name="_Toc311494303"/>
      <w:bookmarkStart w:id="32" w:name="_Toc311745435"/>
      <w:bookmarkStart w:id="33" w:name="_Toc311493694"/>
      <w:bookmarkStart w:id="34" w:name="_Toc311743865"/>
      <w:r>
        <w:rPr>
          <w:rFonts w:hint="eastAsia" w:hAnsi="宋体"/>
          <w:color w:val="auto"/>
          <w:szCs w:val="21"/>
        </w:rPr>
        <w:t>本标准规定了数据分析师岗位能力分级及职业技能要求，明确了数据分析师能力的教育培训服务和能力评价行为。</w:t>
      </w:r>
    </w:p>
    <w:p>
      <w:pPr>
        <w:pStyle w:val="13"/>
        <w:spacing w:line="360" w:lineRule="auto"/>
        <w:jc w:val="left"/>
        <w:rPr>
          <w:rFonts w:hAnsi="宋体"/>
          <w:color w:val="auto"/>
          <w:szCs w:val="21"/>
        </w:rPr>
      </w:pPr>
      <w:r>
        <w:rPr>
          <w:rFonts w:hint="eastAsia" w:hAnsi="宋体"/>
          <w:color w:val="auto"/>
          <w:szCs w:val="21"/>
        </w:rPr>
        <w:t>本标准适用于数据分析师的能力培训和评价，以及相关岗位聘用人员的参照。</w:t>
      </w:r>
      <w:bookmarkEnd w:id="28"/>
      <w:bookmarkEnd w:id="29"/>
      <w:bookmarkEnd w:id="30"/>
      <w:bookmarkEnd w:id="31"/>
      <w:bookmarkEnd w:id="32"/>
      <w:bookmarkEnd w:id="33"/>
      <w:bookmarkEnd w:id="34"/>
    </w:p>
    <w:p>
      <w:pPr>
        <w:spacing w:line="360" w:lineRule="auto"/>
        <w:rPr>
          <w:rStyle w:val="22"/>
          <w:rFonts w:ascii="黑体" w:hAnsi="黑体" w:eastAsia="黑体" w:cs="黑体"/>
          <w:color w:val="auto"/>
          <w:sz w:val="21"/>
          <w:szCs w:val="21"/>
          <w:lang w:eastAsia="zh-CN"/>
        </w:rPr>
      </w:pPr>
      <w:bookmarkStart w:id="35" w:name="_Toc311472177"/>
      <w:bookmarkEnd w:id="35"/>
      <w:bookmarkStart w:id="36" w:name="_Toc312058604"/>
      <w:bookmarkStart w:id="37" w:name="_Toc311494304"/>
      <w:bookmarkStart w:id="38" w:name="_Toc10449959"/>
      <w:bookmarkStart w:id="39" w:name="_Toc311493695"/>
      <w:bookmarkStart w:id="40" w:name="_Toc10448173"/>
      <w:bookmarkStart w:id="41" w:name="_Toc10449381"/>
      <w:bookmarkStart w:id="42" w:name="_Toc311745436"/>
      <w:bookmarkStart w:id="43" w:name="_Toc5524"/>
      <w:bookmarkStart w:id="44" w:name="_Toc315953587"/>
      <w:bookmarkStart w:id="45" w:name="_Toc315966974"/>
      <w:bookmarkStart w:id="46" w:name="_Toc312058565"/>
      <w:bookmarkStart w:id="47" w:name="_Toc9461598"/>
      <w:bookmarkStart w:id="48" w:name="_Toc17752"/>
      <w:bookmarkStart w:id="49" w:name="_Toc31034"/>
      <w:bookmarkStart w:id="50" w:name="_Toc10449824"/>
      <w:bookmarkStart w:id="51" w:name="_Toc9206296"/>
      <w:bookmarkStart w:id="52" w:name="_Toc11640"/>
      <w:bookmarkStart w:id="53" w:name="_Toc311705225"/>
      <w:bookmarkStart w:id="54" w:name="_Toc311705336"/>
      <w:bookmarkStart w:id="55" w:name="_Toc315953473"/>
      <w:bookmarkStart w:id="56" w:name="_Toc317597305"/>
      <w:bookmarkStart w:id="57" w:name="_Toc10395655"/>
      <w:bookmarkStart w:id="58" w:name="_Toc311743866"/>
      <w:bookmarkStart w:id="59" w:name="_Toc312063238"/>
      <w:bookmarkStart w:id="60" w:name="_Toc9206520"/>
    </w:p>
    <w:p>
      <w:pPr>
        <w:spacing w:line="360" w:lineRule="auto"/>
        <w:rPr>
          <w:rStyle w:val="22"/>
          <w:rFonts w:ascii="PMingLiU" w:hAnsi="PMingLiU" w:eastAsia="PMingLiU" w:cs="PMingLiU"/>
          <w:color w:val="auto"/>
          <w:sz w:val="21"/>
          <w:szCs w:val="21"/>
          <w:lang w:eastAsia="zh-CN"/>
        </w:rPr>
      </w:pPr>
      <w:r>
        <w:rPr>
          <w:rStyle w:val="22"/>
          <w:rFonts w:ascii="黑体" w:hAnsi="黑体" w:eastAsia="黑体" w:cs="黑体"/>
          <w:color w:val="auto"/>
          <w:sz w:val="21"/>
          <w:szCs w:val="21"/>
          <w:lang w:eastAsia="zh-CN"/>
        </w:rPr>
        <w:t xml:space="preserve">2 </w:t>
      </w:r>
      <w:r>
        <w:rPr>
          <w:rStyle w:val="22"/>
          <w:rFonts w:ascii="黑体" w:hAnsi="黑体" w:eastAsia="黑体" w:cs="黑体"/>
          <w:color w:val="auto"/>
          <w:sz w:val="21"/>
          <w:szCs w:val="21"/>
          <w:lang w:val="zh-TW" w:eastAsia="zh-TW"/>
        </w:rPr>
        <w:t>规范性引用文件</w:t>
      </w:r>
    </w:p>
    <w:p>
      <w:pPr>
        <w:spacing w:line="360" w:lineRule="auto"/>
        <w:rPr>
          <w:color w:val="auto"/>
          <w:sz w:val="21"/>
          <w:szCs w:val="21"/>
          <w:lang w:eastAsia="zh-CN"/>
        </w:rPr>
      </w:pPr>
    </w:p>
    <w:p>
      <w:pPr>
        <w:spacing w:line="360" w:lineRule="auto"/>
        <w:ind w:firstLine="560"/>
        <w:rPr>
          <w:rStyle w:val="22"/>
          <w:color w:val="auto"/>
          <w:sz w:val="21"/>
          <w:szCs w:val="21"/>
          <w:u w:color="4F81BD"/>
          <w:lang w:val="zh-TW" w:eastAsia="zh-TW"/>
        </w:rPr>
      </w:pPr>
      <w:r>
        <w:rPr>
          <w:rStyle w:val="22"/>
          <w:color w:val="auto"/>
          <w:sz w:val="21"/>
          <w:szCs w:val="21"/>
          <w:u w:color="4F81BD"/>
          <w:lang w:val="zh-TW" w:eastAsia="zh-TW"/>
        </w:rPr>
        <w:t>下列文件对于本文件的应用是必不可少的。凡是注日期的引用文件，仅注日期的版本适用于本文件。凡是不注日期的引用文件，其最新版本（包括所有的修改单）适用于本文件。</w:t>
      </w:r>
    </w:p>
    <w:p>
      <w:pPr>
        <w:spacing w:line="360" w:lineRule="auto"/>
        <w:ind w:firstLine="560"/>
        <w:rPr>
          <w:rStyle w:val="22"/>
          <w:rFonts w:eastAsia="PMingLiU"/>
          <w:color w:val="auto"/>
          <w:sz w:val="21"/>
          <w:szCs w:val="21"/>
          <w:lang w:val="zh-TW" w:eastAsia="zh-TW"/>
        </w:rPr>
      </w:pPr>
      <w:r>
        <w:rPr>
          <w:rStyle w:val="22"/>
          <w:color w:val="auto"/>
          <w:sz w:val="21"/>
          <w:szCs w:val="21"/>
          <w:lang w:eastAsia="zh-CN"/>
        </w:rPr>
        <w:t xml:space="preserve">GB/T 28914—2012 </w:t>
      </w:r>
      <w:r>
        <w:rPr>
          <w:rStyle w:val="22"/>
          <w:color w:val="auto"/>
          <w:sz w:val="21"/>
          <w:szCs w:val="21"/>
          <w:lang w:val="zh-TW" w:eastAsia="zh-TW"/>
        </w:rPr>
        <w:t>成人教育培训工作者服务能力评价</w:t>
      </w:r>
    </w:p>
    <w:p>
      <w:pPr>
        <w:spacing w:line="360" w:lineRule="auto"/>
        <w:ind w:firstLine="560"/>
        <w:rPr>
          <w:rStyle w:val="22"/>
          <w:rFonts w:eastAsia="PMingLiU"/>
          <w:color w:val="auto"/>
          <w:sz w:val="21"/>
          <w:szCs w:val="21"/>
          <w:lang w:val="zh-TW" w:eastAsia="zh-TW"/>
        </w:rPr>
      </w:pPr>
      <w:r>
        <w:rPr>
          <w:color w:val="auto"/>
          <w:sz w:val="21"/>
          <w:szCs w:val="21"/>
          <w:lang w:eastAsia="zh-CN"/>
        </w:rPr>
        <w:t xml:space="preserve">GB/T 35295-2017 </w:t>
      </w:r>
      <w:r>
        <w:rPr>
          <w:rFonts w:hint="eastAsia"/>
          <w:color w:val="auto"/>
          <w:sz w:val="21"/>
          <w:szCs w:val="21"/>
          <w:lang w:eastAsia="zh-CN"/>
        </w:rPr>
        <w:t>大数据术语</w:t>
      </w:r>
    </w:p>
    <w:p>
      <w:pPr>
        <w:pStyle w:val="14"/>
        <w:numPr>
          <w:ilvl w:val="0"/>
          <w:numId w:val="0"/>
        </w:numPr>
        <w:spacing w:beforeLines="0" w:afterLines="0" w:line="360" w:lineRule="auto"/>
        <w:outlineLvl w:val="0"/>
        <w:rPr>
          <w:b/>
          <w:bCs/>
          <w:color w:val="auto"/>
          <w:szCs w:val="21"/>
          <w:lang w:eastAsia="zh-TW"/>
        </w:rPr>
      </w:pPr>
    </w:p>
    <w:p>
      <w:pPr>
        <w:pStyle w:val="14"/>
        <w:numPr>
          <w:ilvl w:val="0"/>
          <w:numId w:val="0"/>
        </w:numPr>
        <w:spacing w:beforeLines="0" w:afterLines="0" w:line="360" w:lineRule="auto"/>
        <w:outlineLvl w:val="0"/>
        <w:rPr>
          <w:color w:val="auto"/>
          <w:szCs w:val="21"/>
        </w:rPr>
      </w:pPr>
      <w:r>
        <w:rPr>
          <w:color w:val="auto"/>
          <w:szCs w:val="21"/>
        </w:rPr>
        <w:t xml:space="preserve">3 </w:t>
      </w:r>
      <w:r>
        <w:rPr>
          <w:rFonts w:hint="eastAsia"/>
          <w:color w:val="auto"/>
          <w:szCs w:val="21"/>
        </w:rPr>
        <w:t>术语和定义</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hint="eastAsia"/>
          <w:color w:val="auto"/>
          <w:szCs w:val="21"/>
        </w:rPr>
        <w:t xml:space="preserve"> </w:t>
      </w:r>
    </w:p>
    <w:p>
      <w:pPr>
        <w:pStyle w:val="13"/>
        <w:rPr>
          <w:color w:val="auto"/>
          <w:szCs w:val="21"/>
        </w:rPr>
      </w:pPr>
    </w:p>
    <w:p>
      <w:pPr>
        <w:pStyle w:val="13"/>
        <w:spacing w:line="360" w:lineRule="auto"/>
        <w:ind w:firstLine="480" w:firstLineChars="0"/>
        <w:rPr>
          <w:rFonts w:hAnsi="宋体"/>
          <w:color w:val="auto"/>
          <w:szCs w:val="21"/>
        </w:rPr>
      </w:pPr>
      <w:r>
        <w:rPr>
          <w:rFonts w:hAnsi="宋体"/>
          <w:color w:val="auto"/>
          <w:szCs w:val="21"/>
        </w:rPr>
        <w:t>GB/T 35295-2017</w:t>
      </w:r>
      <w:r>
        <w:rPr>
          <w:rFonts w:hint="eastAsia" w:hAnsi="宋体"/>
          <w:color w:val="auto"/>
          <w:szCs w:val="21"/>
        </w:rPr>
        <w:t>界定的术语，以及下列术语和</w:t>
      </w:r>
      <w:r>
        <w:rPr>
          <w:rFonts w:hAnsi="宋体"/>
          <w:color w:val="auto"/>
          <w:szCs w:val="21"/>
        </w:rPr>
        <w:t>定义</w:t>
      </w:r>
      <w:r>
        <w:rPr>
          <w:rFonts w:hint="eastAsia" w:hAnsi="宋体"/>
          <w:color w:val="auto"/>
          <w:szCs w:val="21"/>
        </w:rPr>
        <w:t>适用于本标准。</w:t>
      </w:r>
      <w:r>
        <w:rPr>
          <w:rFonts w:hAnsi="宋体"/>
          <w:color w:val="auto"/>
          <w:szCs w:val="21"/>
        </w:rPr>
        <w:t xml:space="preserve"> </w:t>
      </w:r>
    </w:p>
    <w:p>
      <w:pPr>
        <w:pStyle w:val="13"/>
        <w:ind w:firstLine="0" w:firstLineChars="0"/>
        <w:rPr>
          <w:rFonts w:ascii="黑体" w:hAnsi="黑体" w:eastAsia="黑体"/>
          <w:color w:val="auto"/>
          <w:szCs w:val="21"/>
        </w:rPr>
      </w:pPr>
      <w:bookmarkStart w:id="61" w:name="_Toc10395656"/>
      <w:bookmarkStart w:id="62" w:name="_Toc10449960"/>
      <w:bookmarkStart w:id="63" w:name="_Toc9206521"/>
      <w:bookmarkStart w:id="64" w:name="_Toc9461599"/>
      <w:bookmarkStart w:id="65" w:name="_Toc18515"/>
      <w:bookmarkStart w:id="66" w:name="_Toc10449382"/>
      <w:bookmarkStart w:id="67" w:name="_Toc10448174"/>
      <w:bookmarkStart w:id="68" w:name="_Toc10449825"/>
      <w:bookmarkStart w:id="69" w:name="_Toc26928"/>
      <w:bookmarkStart w:id="70" w:name="_Toc9206297"/>
      <w:r>
        <w:rPr>
          <w:rFonts w:ascii="黑体" w:hAnsi="黑体" w:eastAsia="黑体"/>
          <w:color w:val="auto"/>
          <w:szCs w:val="21"/>
        </w:rPr>
        <w:t>3</w:t>
      </w:r>
      <w:r>
        <w:rPr>
          <w:rFonts w:hint="eastAsia" w:ascii="黑体" w:hAnsi="黑体" w:eastAsia="黑体"/>
          <w:color w:val="auto"/>
          <w:szCs w:val="21"/>
        </w:rPr>
        <w:t xml:space="preserve">.1 </w:t>
      </w:r>
      <w:bookmarkEnd w:id="61"/>
      <w:bookmarkEnd w:id="62"/>
      <w:bookmarkEnd w:id="63"/>
      <w:bookmarkEnd w:id="64"/>
      <w:bookmarkEnd w:id="65"/>
      <w:bookmarkEnd w:id="66"/>
      <w:bookmarkEnd w:id="67"/>
      <w:bookmarkEnd w:id="68"/>
      <w:bookmarkEnd w:id="69"/>
      <w:bookmarkEnd w:id="70"/>
    </w:p>
    <w:p>
      <w:pPr>
        <w:pStyle w:val="15"/>
        <w:numPr>
          <w:ilvl w:val="1"/>
          <w:numId w:val="0"/>
        </w:numPr>
        <w:spacing w:beforeLines="0" w:afterLines="0" w:line="360" w:lineRule="auto"/>
        <w:ind w:firstLine="420" w:firstLineChars="200"/>
        <w:rPr>
          <w:rFonts w:hAnsi="黑体" w:cs="黑体"/>
          <w:color w:val="auto"/>
          <w:lang w:eastAsia="zh-Hans"/>
        </w:rPr>
      </w:pPr>
      <w:r>
        <w:rPr>
          <w:rFonts w:hint="eastAsia"/>
          <w:color w:val="auto"/>
        </w:rPr>
        <w:t>数据</w:t>
      </w:r>
      <w:r>
        <w:rPr>
          <w:rFonts w:hint="eastAsia" w:hAnsi="黑体" w:cs="黑体"/>
          <w:color w:val="auto"/>
        </w:rPr>
        <w:t>（</w:t>
      </w:r>
      <w:r>
        <w:rPr>
          <w:rFonts w:hAnsi="黑体" w:cs="黑体"/>
          <w:color w:val="auto"/>
        </w:rPr>
        <w:t>Data</w:t>
      </w:r>
      <w:r>
        <w:rPr>
          <w:rFonts w:hint="eastAsia" w:hAnsi="黑体" w:cs="黑体"/>
          <w:color w:val="auto"/>
        </w:rPr>
        <w:t xml:space="preserve">） </w:t>
      </w:r>
    </w:p>
    <w:p>
      <w:pPr>
        <w:pStyle w:val="15"/>
        <w:numPr>
          <w:ilvl w:val="1"/>
          <w:numId w:val="0"/>
        </w:numPr>
        <w:spacing w:beforeLines="0" w:afterLines="0" w:line="360" w:lineRule="auto"/>
        <w:ind w:firstLine="420" w:firstLineChars="200"/>
        <w:rPr>
          <w:rFonts w:ascii="宋体" w:hAnsi="宋体" w:eastAsia="宋体"/>
          <w:color w:val="auto"/>
        </w:rPr>
      </w:pPr>
      <w:r>
        <w:rPr>
          <w:rFonts w:hint="eastAsia" w:ascii="宋体" w:hAnsi="宋体" w:eastAsia="宋体"/>
          <w:color w:val="auto"/>
        </w:rPr>
        <w:t>信息的可再解释的形式化表示，以适用于通信、解释或处理。</w:t>
      </w:r>
    </w:p>
    <w:p>
      <w:pPr>
        <w:pStyle w:val="13"/>
        <w:ind w:firstLine="0" w:firstLineChars="0"/>
        <w:rPr>
          <w:rFonts w:ascii="黑体" w:hAnsi="黑体" w:eastAsia="黑体"/>
          <w:color w:val="auto"/>
          <w:szCs w:val="21"/>
        </w:rPr>
      </w:pPr>
      <w:r>
        <w:rPr>
          <w:rFonts w:ascii="黑体" w:hAnsi="黑体" w:eastAsia="黑体"/>
          <w:color w:val="auto"/>
          <w:szCs w:val="21"/>
        </w:rPr>
        <w:t>3</w:t>
      </w:r>
      <w:r>
        <w:rPr>
          <w:rFonts w:hint="eastAsia" w:ascii="黑体" w:hAnsi="黑体" w:eastAsia="黑体"/>
          <w:color w:val="auto"/>
          <w:szCs w:val="21"/>
        </w:rPr>
        <w:t>.</w:t>
      </w:r>
      <w:r>
        <w:rPr>
          <w:rFonts w:ascii="黑体" w:hAnsi="黑体" w:eastAsia="黑体"/>
          <w:color w:val="auto"/>
          <w:szCs w:val="21"/>
        </w:rPr>
        <w:t>2</w:t>
      </w:r>
      <w:r>
        <w:rPr>
          <w:rFonts w:hint="eastAsia" w:ascii="黑体" w:hAnsi="黑体" w:eastAsia="黑体"/>
          <w:color w:val="auto"/>
          <w:szCs w:val="21"/>
        </w:rPr>
        <w:t xml:space="preserve"> </w:t>
      </w:r>
    </w:p>
    <w:p>
      <w:pPr>
        <w:pStyle w:val="13"/>
        <w:rPr>
          <w:rFonts w:ascii="黑体" w:hAnsi="黑体" w:eastAsia="黑体" w:cs="黑体"/>
          <w:color w:val="auto"/>
          <w:szCs w:val="21"/>
          <w:lang w:eastAsia="zh-Hans"/>
        </w:rPr>
      </w:pPr>
      <w:r>
        <w:rPr>
          <w:rFonts w:hint="eastAsia" w:ascii="黑体" w:eastAsia="黑体"/>
          <w:color w:val="auto"/>
          <w:szCs w:val="21"/>
        </w:rPr>
        <w:t>大数据</w:t>
      </w:r>
      <w:r>
        <w:rPr>
          <w:rFonts w:ascii="黑体" w:eastAsia="黑体"/>
          <w:color w:val="auto"/>
          <w:szCs w:val="21"/>
        </w:rPr>
        <w:t xml:space="preserve"> </w:t>
      </w:r>
      <w:r>
        <w:rPr>
          <w:rFonts w:hint="eastAsia" w:ascii="黑体" w:hAnsi="黑体" w:eastAsia="黑体" w:cs="黑体"/>
          <w:color w:val="auto"/>
        </w:rPr>
        <w:t>（</w:t>
      </w:r>
      <w:r>
        <w:rPr>
          <w:rFonts w:ascii="黑体" w:hAnsi="黑体" w:eastAsia="黑体" w:cs="黑体"/>
          <w:color w:val="auto"/>
        </w:rPr>
        <w:t>Big data</w:t>
      </w:r>
      <w:r>
        <w:rPr>
          <w:rFonts w:hint="eastAsia" w:ascii="黑体" w:hAnsi="黑体" w:eastAsia="黑体" w:cs="黑体"/>
          <w:color w:val="auto"/>
        </w:rPr>
        <w:t xml:space="preserve">） </w:t>
      </w:r>
    </w:p>
    <w:p>
      <w:pPr>
        <w:pStyle w:val="13"/>
        <w:spacing w:line="360" w:lineRule="auto"/>
        <w:rPr>
          <w:rFonts w:hAnsi="宋体"/>
          <w:color w:val="auto"/>
          <w:szCs w:val="21"/>
        </w:rPr>
      </w:pPr>
      <w:r>
        <w:rPr>
          <w:rFonts w:hint="eastAsia" w:hAnsi="宋体"/>
          <w:color w:val="auto"/>
          <w:szCs w:val="21"/>
        </w:rPr>
        <w:t>具有体量巨大、来源多样、生成极快、多变等特征并且难以用传统数据体系结构有效处理的包含大量数据集的数据。</w:t>
      </w:r>
    </w:p>
    <w:p>
      <w:pPr>
        <w:pStyle w:val="13"/>
        <w:ind w:firstLine="0" w:firstLineChars="0"/>
        <w:rPr>
          <w:rFonts w:ascii="黑体" w:hAnsi="黑体" w:eastAsia="黑体"/>
          <w:color w:val="auto"/>
          <w:szCs w:val="21"/>
        </w:rPr>
      </w:pPr>
      <w:r>
        <w:rPr>
          <w:rFonts w:ascii="黑体" w:hAnsi="黑体" w:eastAsia="黑体"/>
          <w:color w:val="auto"/>
          <w:szCs w:val="21"/>
        </w:rPr>
        <w:t>3.3</w:t>
      </w:r>
    </w:p>
    <w:p>
      <w:pPr>
        <w:pStyle w:val="15"/>
        <w:numPr>
          <w:ilvl w:val="1"/>
          <w:numId w:val="0"/>
        </w:numPr>
        <w:spacing w:beforeLines="0" w:afterLines="0" w:line="360" w:lineRule="auto"/>
        <w:ind w:firstLine="420" w:firstLineChars="200"/>
        <w:rPr>
          <w:color w:val="auto"/>
        </w:rPr>
      </w:pPr>
      <w:r>
        <w:rPr>
          <w:color w:val="auto"/>
        </w:rPr>
        <w:t xml:space="preserve">数据分析 </w:t>
      </w:r>
      <w:r>
        <w:rPr>
          <w:rFonts w:hint="eastAsia"/>
          <w:color w:val="auto"/>
        </w:rPr>
        <w:t>（</w:t>
      </w:r>
      <w:r>
        <w:rPr>
          <w:color w:val="auto"/>
        </w:rPr>
        <w:t>Data Analysis</w:t>
      </w:r>
      <w:r>
        <w:rPr>
          <w:rFonts w:hint="eastAsia"/>
          <w:color w:val="auto"/>
        </w:rPr>
        <w:t>）</w:t>
      </w:r>
      <w:r>
        <w:rPr>
          <w:color w:val="auto"/>
        </w:rPr>
        <w:t xml:space="preserve"> </w:t>
      </w:r>
    </w:p>
    <w:p>
      <w:pPr>
        <w:pStyle w:val="13"/>
        <w:spacing w:line="360" w:lineRule="auto"/>
        <w:rPr>
          <w:rFonts w:hAnsi="宋体"/>
          <w:color w:val="auto"/>
          <w:szCs w:val="21"/>
        </w:rPr>
      </w:pPr>
      <w:r>
        <w:rPr>
          <w:rFonts w:hint="eastAsia" w:hAnsi="宋体"/>
          <w:color w:val="auto"/>
          <w:szCs w:val="21"/>
        </w:rPr>
        <w:t>用适当的统计分析</w:t>
      </w:r>
      <w:r>
        <w:rPr>
          <w:rFonts w:hAnsi="宋体"/>
          <w:color w:val="auto"/>
          <w:szCs w:val="21"/>
        </w:rPr>
        <w:t>和机器学习</w:t>
      </w:r>
      <w:r>
        <w:rPr>
          <w:rFonts w:hint="eastAsia" w:hAnsi="宋体"/>
          <w:color w:val="auto"/>
          <w:szCs w:val="21"/>
        </w:rPr>
        <w:t>方法对收集来的数据进行分析，为提取有价值的信息和形成</w:t>
      </w:r>
      <w:r>
        <w:rPr>
          <w:rFonts w:hAnsi="宋体"/>
          <w:color w:val="auto"/>
          <w:szCs w:val="21"/>
        </w:rPr>
        <w:t>结</w:t>
      </w:r>
      <w:r>
        <w:rPr>
          <w:rFonts w:hint="eastAsia" w:hAnsi="宋体"/>
          <w:color w:val="auto"/>
          <w:szCs w:val="21"/>
        </w:rPr>
        <w:t>论而对数据加以详细研究和概括总结的过程</w:t>
      </w:r>
      <w:r>
        <w:rPr>
          <w:rFonts w:hAnsi="宋体"/>
          <w:color w:val="auto"/>
          <w:szCs w:val="21"/>
        </w:rPr>
        <w:t>。</w:t>
      </w:r>
    </w:p>
    <w:p>
      <w:pPr>
        <w:pStyle w:val="14"/>
        <w:numPr>
          <w:ilvl w:val="0"/>
          <w:numId w:val="0"/>
        </w:numPr>
        <w:spacing w:beforeLines="0" w:afterLines="0" w:line="360" w:lineRule="auto"/>
        <w:outlineLvl w:val="0"/>
        <w:rPr>
          <w:rFonts w:hAnsi="黑体" w:cs="黑体"/>
          <w:color w:val="auto"/>
          <w:szCs w:val="21"/>
        </w:rPr>
      </w:pPr>
      <w:r>
        <w:rPr>
          <w:rFonts w:hAnsi="黑体" w:cs="黑体"/>
          <w:color w:val="auto"/>
          <w:szCs w:val="21"/>
        </w:rPr>
        <w:t>3</w:t>
      </w:r>
      <w:r>
        <w:rPr>
          <w:rFonts w:hint="eastAsia" w:hAnsi="黑体" w:cs="黑体"/>
          <w:color w:val="auto"/>
          <w:szCs w:val="21"/>
        </w:rPr>
        <w:t>.</w:t>
      </w:r>
      <w:r>
        <w:rPr>
          <w:rFonts w:hAnsi="黑体" w:cs="黑体"/>
          <w:color w:val="auto"/>
          <w:szCs w:val="21"/>
        </w:rPr>
        <w:t>4</w:t>
      </w:r>
      <w:r>
        <w:rPr>
          <w:rFonts w:hint="eastAsia" w:hAnsi="黑体" w:cs="黑体"/>
          <w:color w:val="auto"/>
          <w:szCs w:val="21"/>
        </w:rPr>
        <w:t xml:space="preserve"> </w:t>
      </w:r>
    </w:p>
    <w:p>
      <w:pPr>
        <w:pStyle w:val="14"/>
        <w:numPr>
          <w:ilvl w:val="0"/>
          <w:numId w:val="0"/>
        </w:numPr>
        <w:spacing w:beforeLines="0" w:afterLines="0" w:line="360" w:lineRule="auto"/>
        <w:ind w:firstLine="420" w:firstLineChars="200"/>
        <w:outlineLvl w:val="0"/>
        <w:rPr>
          <w:color w:val="auto"/>
          <w:szCs w:val="21"/>
        </w:rPr>
      </w:pPr>
      <w:r>
        <w:rPr>
          <w:rFonts w:hint="eastAsia"/>
          <w:color w:val="auto"/>
          <w:szCs w:val="21"/>
        </w:rPr>
        <w:t>大数据</w:t>
      </w:r>
      <w:r>
        <w:rPr>
          <w:color w:val="auto"/>
          <w:szCs w:val="21"/>
        </w:rPr>
        <w:t>分析</w:t>
      </w:r>
      <w:r>
        <w:rPr>
          <w:rFonts w:hint="eastAsia"/>
          <w:color w:val="auto"/>
          <w:szCs w:val="21"/>
        </w:rPr>
        <w:t xml:space="preserve"> </w:t>
      </w:r>
      <w:r>
        <w:rPr>
          <w:rFonts w:hint="eastAsia"/>
          <w:color w:val="auto"/>
        </w:rPr>
        <w:t>（</w:t>
      </w:r>
      <w:r>
        <w:rPr>
          <w:color w:val="auto"/>
        </w:rPr>
        <w:t>Big data analysis</w:t>
      </w:r>
      <w:r>
        <w:rPr>
          <w:rFonts w:hint="eastAsia"/>
          <w:color w:val="auto"/>
        </w:rPr>
        <w:t>）</w:t>
      </w:r>
      <w:r>
        <w:rPr>
          <w:color w:val="auto"/>
        </w:rPr>
        <w:t xml:space="preserve"> </w:t>
      </w:r>
      <w:bookmarkStart w:id="71" w:name="_GoBack"/>
      <w:bookmarkEnd w:id="71"/>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Corbel"/>
    <w:panose1 w:val="00000000000000000000"/>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00"/>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4"/>
      <w:suff w:val="nothing"/>
      <w:lvlText w:val="%1　"/>
      <w:lvlJc w:val="left"/>
      <w:pPr>
        <w:ind w:left="2411" w:firstLine="0"/>
      </w:pPr>
      <w:rPr>
        <w:rFonts w:hint="eastAsia" w:ascii="黑体" w:hAnsi="Times New Roman" w:eastAsia="黑体"/>
        <w:b w:val="0"/>
        <w:i w:val="0"/>
        <w:sz w:val="21"/>
        <w:szCs w:val="21"/>
      </w:rPr>
    </w:lvl>
    <w:lvl w:ilvl="1" w:tentative="0">
      <w:start w:val="1"/>
      <w:numFmt w:val="decimal"/>
      <w:pStyle w:val="15"/>
      <w:suff w:val="nothing"/>
      <w:lvlText w:val="%1.%2　"/>
      <w:lvlJc w:val="left"/>
      <w:pPr>
        <w:ind w:left="142"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0">
      <w:start w:val="1"/>
      <w:numFmt w:val="decimal"/>
      <w:suff w:val="nothing"/>
      <w:lvlText w:val="%1.%2.%3　"/>
      <w:lvlJc w:val="left"/>
      <w:pPr>
        <w:ind w:left="255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endnotePr>
    <w:pos w:val="sectEnd"/>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A6216"/>
    <w:rsid w:val="000404E0"/>
    <w:rsid w:val="00044393"/>
    <w:rsid w:val="00062A77"/>
    <w:rsid w:val="00071310"/>
    <w:rsid w:val="000B2E2F"/>
    <w:rsid w:val="000F2BC9"/>
    <w:rsid w:val="0011414C"/>
    <w:rsid w:val="00114D99"/>
    <w:rsid w:val="00120295"/>
    <w:rsid w:val="00135CEF"/>
    <w:rsid w:val="00136359"/>
    <w:rsid w:val="001925EC"/>
    <w:rsid w:val="0019351B"/>
    <w:rsid w:val="001B1751"/>
    <w:rsid w:val="001D6C33"/>
    <w:rsid w:val="001E5133"/>
    <w:rsid w:val="001F6C8E"/>
    <w:rsid w:val="002045BE"/>
    <w:rsid w:val="0027690D"/>
    <w:rsid w:val="00290459"/>
    <w:rsid w:val="00295495"/>
    <w:rsid w:val="002B3B23"/>
    <w:rsid w:val="002B71DB"/>
    <w:rsid w:val="002B73A4"/>
    <w:rsid w:val="002C7869"/>
    <w:rsid w:val="002D1F80"/>
    <w:rsid w:val="002D67ED"/>
    <w:rsid w:val="002F5129"/>
    <w:rsid w:val="0035661D"/>
    <w:rsid w:val="00381955"/>
    <w:rsid w:val="00381CE2"/>
    <w:rsid w:val="003A100F"/>
    <w:rsid w:val="003A6C7C"/>
    <w:rsid w:val="003D3810"/>
    <w:rsid w:val="00402059"/>
    <w:rsid w:val="0040349B"/>
    <w:rsid w:val="00431BC1"/>
    <w:rsid w:val="00436928"/>
    <w:rsid w:val="004418FD"/>
    <w:rsid w:val="00453F6C"/>
    <w:rsid w:val="0045660D"/>
    <w:rsid w:val="00474674"/>
    <w:rsid w:val="00493D3E"/>
    <w:rsid w:val="004B4340"/>
    <w:rsid w:val="004E1201"/>
    <w:rsid w:val="004F1400"/>
    <w:rsid w:val="00502AA8"/>
    <w:rsid w:val="00503C73"/>
    <w:rsid w:val="00506831"/>
    <w:rsid w:val="00561143"/>
    <w:rsid w:val="005A2886"/>
    <w:rsid w:val="005B3ED9"/>
    <w:rsid w:val="005D3671"/>
    <w:rsid w:val="005D3BC5"/>
    <w:rsid w:val="00620F3A"/>
    <w:rsid w:val="00621EFF"/>
    <w:rsid w:val="0062232F"/>
    <w:rsid w:val="00643707"/>
    <w:rsid w:val="00676C72"/>
    <w:rsid w:val="006A1EA8"/>
    <w:rsid w:val="006B087B"/>
    <w:rsid w:val="006C0BED"/>
    <w:rsid w:val="006E54BB"/>
    <w:rsid w:val="006F4508"/>
    <w:rsid w:val="0071325D"/>
    <w:rsid w:val="00735CB0"/>
    <w:rsid w:val="007548A4"/>
    <w:rsid w:val="00766D51"/>
    <w:rsid w:val="007701D5"/>
    <w:rsid w:val="00777D4C"/>
    <w:rsid w:val="007837FF"/>
    <w:rsid w:val="00791194"/>
    <w:rsid w:val="0079381E"/>
    <w:rsid w:val="007B1EC3"/>
    <w:rsid w:val="007C32D3"/>
    <w:rsid w:val="007C4A12"/>
    <w:rsid w:val="007E7E04"/>
    <w:rsid w:val="007F4C3D"/>
    <w:rsid w:val="008037EA"/>
    <w:rsid w:val="0084041A"/>
    <w:rsid w:val="008513C6"/>
    <w:rsid w:val="00867B81"/>
    <w:rsid w:val="00867D17"/>
    <w:rsid w:val="008C5147"/>
    <w:rsid w:val="008C5940"/>
    <w:rsid w:val="008E56D1"/>
    <w:rsid w:val="008E7911"/>
    <w:rsid w:val="009153A0"/>
    <w:rsid w:val="0093052B"/>
    <w:rsid w:val="00932E11"/>
    <w:rsid w:val="00943E11"/>
    <w:rsid w:val="009562DB"/>
    <w:rsid w:val="00980FD6"/>
    <w:rsid w:val="009B3357"/>
    <w:rsid w:val="00A256E5"/>
    <w:rsid w:val="00A43222"/>
    <w:rsid w:val="00A46EF0"/>
    <w:rsid w:val="00A60C5A"/>
    <w:rsid w:val="00A67FDA"/>
    <w:rsid w:val="00A97E9C"/>
    <w:rsid w:val="00AA2DD3"/>
    <w:rsid w:val="00AA5FFA"/>
    <w:rsid w:val="00AB019D"/>
    <w:rsid w:val="00AB7CA6"/>
    <w:rsid w:val="00AC60A1"/>
    <w:rsid w:val="00AD6728"/>
    <w:rsid w:val="00AE01B3"/>
    <w:rsid w:val="00AE46F7"/>
    <w:rsid w:val="00AF7B37"/>
    <w:rsid w:val="00B02297"/>
    <w:rsid w:val="00B040CD"/>
    <w:rsid w:val="00B20082"/>
    <w:rsid w:val="00B21E20"/>
    <w:rsid w:val="00B360DD"/>
    <w:rsid w:val="00B57B4A"/>
    <w:rsid w:val="00B93D7E"/>
    <w:rsid w:val="00BA16A7"/>
    <w:rsid w:val="00BE1E84"/>
    <w:rsid w:val="00BE2469"/>
    <w:rsid w:val="00C01996"/>
    <w:rsid w:val="00C0599A"/>
    <w:rsid w:val="00C15AB2"/>
    <w:rsid w:val="00C200B2"/>
    <w:rsid w:val="00C200CF"/>
    <w:rsid w:val="00C40E01"/>
    <w:rsid w:val="00C55A2B"/>
    <w:rsid w:val="00C8049D"/>
    <w:rsid w:val="00C934E1"/>
    <w:rsid w:val="00C95278"/>
    <w:rsid w:val="00CB66DA"/>
    <w:rsid w:val="00CD0C07"/>
    <w:rsid w:val="00D16A6B"/>
    <w:rsid w:val="00D23105"/>
    <w:rsid w:val="00D50199"/>
    <w:rsid w:val="00D52464"/>
    <w:rsid w:val="00D63701"/>
    <w:rsid w:val="00D715C4"/>
    <w:rsid w:val="00D7740B"/>
    <w:rsid w:val="00DB599D"/>
    <w:rsid w:val="00DF7014"/>
    <w:rsid w:val="00E15735"/>
    <w:rsid w:val="00E30450"/>
    <w:rsid w:val="00E36E59"/>
    <w:rsid w:val="00E4110B"/>
    <w:rsid w:val="00E6294C"/>
    <w:rsid w:val="00E65FD4"/>
    <w:rsid w:val="00E84C53"/>
    <w:rsid w:val="00E954A9"/>
    <w:rsid w:val="00EA51D2"/>
    <w:rsid w:val="00ED35DA"/>
    <w:rsid w:val="00ED5120"/>
    <w:rsid w:val="00EE543A"/>
    <w:rsid w:val="00EF0872"/>
    <w:rsid w:val="00F00A7B"/>
    <w:rsid w:val="00F31F26"/>
    <w:rsid w:val="00F4185E"/>
    <w:rsid w:val="00F42246"/>
    <w:rsid w:val="00F66EE6"/>
    <w:rsid w:val="00F819E3"/>
    <w:rsid w:val="00F86117"/>
    <w:rsid w:val="00F931F2"/>
    <w:rsid w:val="00F94796"/>
    <w:rsid w:val="00FB7C4D"/>
    <w:rsid w:val="05F95603"/>
    <w:rsid w:val="07F47734"/>
    <w:rsid w:val="089A0F19"/>
    <w:rsid w:val="097077CD"/>
    <w:rsid w:val="099C4EDF"/>
    <w:rsid w:val="09AC3285"/>
    <w:rsid w:val="0D7E57D5"/>
    <w:rsid w:val="0E5B3DAA"/>
    <w:rsid w:val="108A1BBA"/>
    <w:rsid w:val="119D1A01"/>
    <w:rsid w:val="16200773"/>
    <w:rsid w:val="16FA59B8"/>
    <w:rsid w:val="1C8D73AF"/>
    <w:rsid w:val="1D364575"/>
    <w:rsid w:val="1F9E09AA"/>
    <w:rsid w:val="1FF6E8BE"/>
    <w:rsid w:val="20BF6436"/>
    <w:rsid w:val="21E84673"/>
    <w:rsid w:val="23D8544E"/>
    <w:rsid w:val="2A273D53"/>
    <w:rsid w:val="2ABC6A70"/>
    <w:rsid w:val="2D086A17"/>
    <w:rsid w:val="2EE079A1"/>
    <w:rsid w:val="2FAD1F2E"/>
    <w:rsid w:val="31966137"/>
    <w:rsid w:val="322F0278"/>
    <w:rsid w:val="32BD71A4"/>
    <w:rsid w:val="34FEAFE9"/>
    <w:rsid w:val="36F3A380"/>
    <w:rsid w:val="377B5675"/>
    <w:rsid w:val="37FA2046"/>
    <w:rsid w:val="38473F12"/>
    <w:rsid w:val="38B4732D"/>
    <w:rsid w:val="390E5B28"/>
    <w:rsid w:val="39852A33"/>
    <w:rsid w:val="3C2E2401"/>
    <w:rsid w:val="3C764A97"/>
    <w:rsid w:val="3C972993"/>
    <w:rsid w:val="3C9B763F"/>
    <w:rsid w:val="3F05081F"/>
    <w:rsid w:val="3F7E0D12"/>
    <w:rsid w:val="3F7FB648"/>
    <w:rsid w:val="42A47901"/>
    <w:rsid w:val="42D27128"/>
    <w:rsid w:val="44626631"/>
    <w:rsid w:val="44C36E1E"/>
    <w:rsid w:val="47AB4B47"/>
    <w:rsid w:val="47EC26D0"/>
    <w:rsid w:val="47FFFF2D"/>
    <w:rsid w:val="4877501A"/>
    <w:rsid w:val="48AF1E2F"/>
    <w:rsid w:val="498469BF"/>
    <w:rsid w:val="499D1F60"/>
    <w:rsid w:val="4AF7C8B9"/>
    <w:rsid w:val="4BAD7772"/>
    <w:rsid w:val="4FDC0209"/>
    <w:rsid w:val="4FF75EAA"/>
    <w:rsid w:val="598F5103"/>
    <w:rsid w:val="5AD148F5"/>
    <w:rsid w:val="5AF479B7"/>
    <w:rsid w:val="5B735FC6"/>
    <w:rsid w:val="5CA60445"/>
    <w:rsid w:val="5CB925A2"/>
    <w:rsid w:val="5D7C4E8D"/>
    <w:rsid w:val="5DFEE2F9"/>
    <w:rsid w:val="5E3DF720"/>
    <w:rsid w:val="6054336B"/>
    <w:rsid w:val="609F280D"/>
    <w:rsid w:val="61F046C6"/>
    <w:rsid w:val="63525E10"/>
    <w:rsid w:val="64C5738B"/>
    <w:rsid w:val="64D6F9AD"/>
    <w:rsid w:val="65447F80"/>
    <w:rsid w:val="65FFA369"/>
    <w:rsid w:val="67FE08D1"/>
    <w:rsid w:val="6B4F2E2C"/>
    <w:rsid w:val="6D47AA30"/>
    <w:rsid w:val="6E4CB396"/>
    <w:rsid w:val="6F8FA4A3"/>
    <w:rsid w:val="714E9787"/>
    <w:rsid w:val="747F94DD"/>
    <w:rsid w:val="760B7176"/>
    <w:rsid w:val="776DB0A4"/>
    <w:rsid w:val="77726C8A"/>
    <w:rsid w:val="777EC522"/>
    <w:rsid w:val="77DF4E44"/>
    <w:rsid w:val="77FCC3F9"/>
    <w:rsid w:val="795FBAF1"/>
    <w:rsid w:val="79EC0275"/>
    <w:rsid w:val="7B4A6216"/>
    <w:rsid w:val="7BDDFC3A"/>
    <w:rsid w:val="7BFF8F1F"/>
    <w:rsid w:val="7D1E2AED"/>
    <w:rsid w:val="7DA093DB"/>
    <w:rsid w:val="7E8012D4"/>
    <w:rsid w:val="7EFD0F57"/>
    <w:rsid w:val="7F5D136D"/>
    <w:rsid w:val="7FD9FA0C"/>
    <w:rsid w:val="7FDE460E"/>
    <w:rsid w:val="7FE5CFB4"/>
    <w:rsid w:val="7FF7EE9A"/>
    <w:rsid w:val="7FFCF57B"/>
    <w:rsid w:val="8B5F41F6"/>
    <w:rsid w:val="AE3F92C8"/>
    <w:rsid w:val="B7FDB56F"/>
    <w:rsid w:val="B7FF7077"/>
    <w:rsid w:val="BFDF6807"/>
    <w:rsid w:val="BFF581E4"/>
    <w:rsid w:val="CF2F4F84"/>
    <w:rsid w:val="CF7F739F"/>
    <w:rsid w:val="D3AF6F7E"/>
    <w:rsid w:val="D5DFE794"/>
    <w:rsid w:val="DEB75B8A"/>
    <w:rsid w:val="DF7E09B7"/>
    <w:rsid w:val="DFEDA925"/>
    <w:rsid w:val="DFFF01CA"/>
    <w:rsid w:val="E4FFC571"/>
    <w:rsid w:val="E7C7FD1A"/>
    <w:rsid w:val="EDFF918C"/>
    <w:rsid w:val="EF6BBAA9"/>
    <w:rsid w:val="EFBF11AE"/>
    <w:rsid w:val="EFF71D55"/>
    <w:rsid w:val="EFFF2C3F"/>
    <w:rsid w:val="EFFF546C"/>
    <w:rsid w:val="F2BF2B11"/>
    <w:rsid w:val="F47FF1B6"/>
    <w:rsid w:val="F7DB12F2"/>
    <w:rsid w:val="F9EA3DCA"/>
    <w:rsid w:val="FAFEC312"/>
    <w:rsid w:val="FB3C3FF1"/>
    <w:rsid w:val="FBB85064"/>
    <w:rsid w:val="FBF8BFA8"/>
    <w:rsid w:val="FCD38C8E"/>
    <w:rsid w:val="FCF7F7A6"/>
    <w:rsid w:val="FD1B569D"/>
    <w:rsid w:val="FDBE2F04"/>
    <w:rsid w:val="FDBE365B"/>
    <w:rsid w:val="FDBEE8C4"/>
    <w:rsid w:val="FDEB06DA"/>
    <w:rsid w:val="FF37E57B"/>
    <w:rsid w:val="FF919A88"/>
    <w:rsid w:val="FFB52467"/>
    <w:rsid w:val="FFBF3C25"/>
    <w:rsid w:val="FFC6615F"/>
    <w:rsid w:val="FFFF8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3"/>
    <w:basedOn w:val="1"/>
    <w:next w:val="1"/>
    <w:qFormat/>
    <w:uiPriority w:val="9"/>
    <w:pPr>
      <w:widowControl/>
      <w:outlineLvl w:val="2"/>
    </w:pPr>
    <w:rPr>
      <w:rFonts w:ascii="Times New Roman" w:hAnsi="Times New Roman" w:cs="Times New Roman"/>
      <w:b/>
      <w:bCs/>
      <w:sz w:val="32"/>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style>
  <w:style w:type="paragraph" w:styleId="4">
    <w:name w:val="Balloon Text"/>
    <w:basedOn w:val="1"/>
    <w:link w:val="19"/>
    <w:qFormat/>
    <w:uiPriority w:val="0"/>
    <w:rPr>
      <w:sz w:val="18"/>
      <w:szCs w:val="18"/>
    </w:rPr>
  </w:style>
  <w:style w:type="paragraph" w:styleId="5">
    <w:name w:val="footer"/>
    <w:basedOn w:val="1"/>
    <w:link w:val="23"/>
    <w:qFormat/>
    <w:uiPriority w:val="99"/>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annotation subject"/>
    <w:basedOn w:val="3"/>
    <w:next w:val="3"/>
    <w:link w:val="18"/>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paragraph" w:customStyle="1" w:styleId="13">
    <w:name w:val="段"/>
    <w:link w:val="2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4">
    <w:name w:val="章标题"/>
    <w:next w:val="13"/>
    <w:qFormat/>
    <w:uiPriority w:val="0"/>
    <w:pPr>
      <w:numPr>
        <w:ilvl w:val="0"/>
        <w:numId w:val="1"/>
      </w:numPr>
      <w:spacing w:beforeLines="100" w:afterLines="100"/>
      <w:jc w:val="both"/>
      <w:outlineLvl w:val="1"/>
    </w:pPr>
    <w:rPr>
      <w:rFonts w:ascii="黑体" w:hAnsi="Times New Roman" w:eastAsia="黑体" w:cs="Times New Roman"/>
      <w:sz w:val="21"/>
      <w:szCs w:val="22"/>
      <w:lang w:val="en-US" w:eastAsia="zh-CN" w:bidi="ar-SA"/>
    </w:rPr>
  </w:style>
  <w:style w:type="paragraph" w:customStyle="1" w:styleId="15">
    <w:name w:val="一级条标题"/>
    <w:next w:val="13"/>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6">
    <w:name w:val="列表段落1"/>
    <w:basedOn w:val="1"/>
    <w:qFormat/>
    <w:uiPriority w:val="99"/>
    <w:pPr>
      <w:ind w:firstLine="420" w:firstLineChars="200"/>
    </w:pPr>
  </w:style>
  <w:style w:type="character" w:customStyle="1" w:styleId="17">
    <w:name w:val="批注文字 字符"/>
    <w:basedOn w:val="10"/>
    <w:link w:val="3"/>
    <w:qFormat/>
    <w:uiPriority w:val="0"/>
    <w:rPr>
      <w:rFonts w:ascii="宋体" w:hAnsi="宋体" w:cs="宋体"/>
      <w:sz w:val="22"/>
      <w:szCs w:val="22"/>
      <w:lang w:eastAsia="en-US"/>
    </w:rPr>
  </w:style>
  <w:style w:type="character" w:customStyle="1" w:styleId="18">
    <w:name w:val="批注主题 字符"/>
    <w:basedOn w:val="17"/>
    <w:link w:val="7"/>
    <w:qFormat/>
    <w:uiPriority w:val="0"/>
    <w:rPr>
      <w:rFonts w:ascii="宋体" w:hAnsi="宋体" w:cs="宋体"/>
      <w:b/>
      <w:bCs/>
      <w:sz w:val="22"/>
      <w:szCs w:val="22"/>
      <w:lang w:eastAsia="en-US"/>
    </w:rPr>
  </w:style>
  <w:style w:type="character" w:customStyle="1" w:styleId="19">
    <w:name w:val="批注框文本 字符"/>
    <w:basedOn w:val="10"/>
    <w:link w:val="4"/>
    <w:qFormat/>
    <w:uiPriority w:val="0"/>
    <w:rPr>
      <w:rFonts w:ascii="宋体" w:hAnsi="宋体" w:cs="宋体"/>
      <w:sz w:val="18"/>
      <w:szCs w:val="18"/>
      <w:lang w:eastAsia="en-US"/>
    </w:rPr>
  </w:style>
  <w:style w:type="paragraph" w:customStyle="1" w:styleId="20">
    <w:name w:val="列表段落2"/>
    <w:basedOn w:val="1"/>
    <w:qFormat/>
    <w:uiPriority w:val="99"/>
    <w:pPr>
      <w:ind w:firstLine="420" w:firstLineChars="200"/>
    </w:pPr>
  </w:style>
  <w:style w:type="paragraph" w:customStyle="1" w:styleId="21">
    <w:name w:val="列表段落3"/>
    <w:basedOn w:val="1"/>
    <w:qFormat/>
    <w:uiPriority w:val="99"/>
    <w:pPr>
      <w:ind w:firstLine="420" w:firstLineChars="200"/>
    </w:pPr>
  </w:style>
  <w:style w:type="character" w:customStyle="1" w:styleId="22">
    <w:name w:val="无"/>
    <w:qFormat/>
    <w:uiPriority w:val="0"/>
  </w:style>
  <w:style w:type="character" w:customStyle="1" w:styleId="23">
    <w:name w:val="页脚 字符"/>
    <w:basedOn w:val="10"/>
    <w:link w:val="5"/>
    <w:qFormat/>
    <w:uiPriority w:val="99"/>
    <w:rPr>
      <w:rFonts w:ascii="宋体" w:hAnsi="宋体" w:cs="宋体"/>
      <w:sz w:val="18"/>
      <w:szCs w:val="22"/>
      <w:lang w:eastAsia="en-US"/>
    </w:rPr>
  </w:style>
  <w:style w:type="character" w:customStyle="1" w:styleId="24">
    <w:name w:val="段 Char"/>
    <w:link w:val="13"/>
    <w:qFormat/>
    <w:uiPriority w:val="0"/>
    <w:rPr>
      <w:rFonts w:ascii="宋体"/>
      <w:sz w:val="21"/>
      <w:szCs w:val="22"/>
    </w:rPr>
  </w:style>
  <w:style w:type="character" w:customStyle="1" w:styleId="25">
    <w:name w:val="未处理的提及1"/>
    <w:basedOn w:val="10"/>
    <w:unhideWhenUsed/>
    <w:qFormat/>
    <w:uiPriority w:val="99"/>
    <w:rPr>
      <w:color w:val="605E5C"/>
      <w:shd w:val="clear" w:color="auto" w:fill="E1DFDD"/>
    </w:rPr>
  </w:style>
  <w:style w:type="paragraph" w:customStyle="1" w:styleId="26">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27">
    <w:name w:val="Hyperlink.0"/>
    <w:basedOn w:val="22"/>
    <w:qFormat/>
    <w:uiPriority w:val="0"/>
    <w:rPr>
      <w:rFonts w:ascii="宋体" w:hAnsi="宋体" w:eastAsia="宋体" w:cs="宋体"/>
      <w:color w:val="000000"/>
      <w:u w:color="000000"/>
      <w:lang w:val="zh-TW" w:eastAsia="zh-TW"/>
    </w:rPr>
  </w:style>
  <w:style w:type="character" w:customStyle="1" w:styleId="28">
    <w:name w:val="Hyperlink.1"/>
    <w:basedOn w:val="22"/>
    <w:qFormat/>
    <w:uiPriority w:val="0"/>
    <w:rPr>
      <w:rFonts w:ascii="宋体" w:hAnsi="宋体" w:eastAsia="宋体" w:cs="宋体"/>
      <w:color w:val="000000"/>
      <w:u w:color="000000"/>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1619</Words>
  <Characters>9231</Characters>
  <Lines>76</Lines>
  <Paragraphs>21</Paragraphs>
  <TotalTime>0</TotalTime>
  <ScaleCrop>false</ScaleCrop>
  <LinksUpToDate>false</LinksUpToDate>
  <CharactersWithSpaces>10829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2020-08-21T18:32:00Z</dcterms:created>
  <dc:creator>阅行</dc:creator>
  <cp:lastModifiedBy>霜叶没红</cp:lastModifiedBy>
  <dcterms:modified xsi:type="dcterms:W3CDTF">2021-12-24T01:39:51Z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54E2C34490E84AB2BBE0315627E8051E</vt:lpwstr>
  </property>
</Properties>
</file>