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left"/>
        <w:rPr>
          <w:rFonts w:ascii="黑体" w:hAnsi="黑体" w:eastAsia="黑体" w:cs="Calibri"/>
          <w:b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6350</wp:posOffset>
                </wp:positionV>
                <wp:extent cx="1873250" cy="8458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20" w:lineRule="atLeast"/>
                              <w:jc w:val="center"/>
                              <w:rPr>
                                <w:rFonts w:ascii="黑体" w:hAnsi="黑体" w:eastAsia="黑体" w:cs="Calibri"/>
                                <w:bCs/>
                                <w:color w:val="000000" w:themeColor="text1"/>
                                <w:kern w:val="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 w:cs="Calibri"/>
                                <w:bCs/>
                                <w:color w:val="000000" w:themeColor="text1"/>
                                <w:kern w:val="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Calibri"/>
                                <w:bCs/>
                                <w:color w:val="000000" w:themeColor="text1"/>
                                <w:kern w:val="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pt;margin-top:0.5pt;height:66.6pt;width:147.5pt;mso-position-horizontal-relative:margin;z-index:251659264;mso-width-relative:page;mso-height-relative:page;" filled="f" stroked="f" coordsize="21600,21600" o:gfxdata="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V/4XNUAAAAJAQAADwAAAAAAAAABACAAAAAiAAAAZHJzL2Rvd25yZXYueG1s&#10;UEsBAhQAFAAAAAgAh07iQCR8mBQ0AgAAXQQAAA4AAAAAAAAAAQAgAAAAJAEAAGRycy9lMm9Eb2Mu&#10;eG1sUEsFBgAAAAAGAAYAWQEAAM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20" w:lineRule="atLeast"/>
                        <w:jc w:val="center"/>
                        <w:rPr>
                          <w:rFonts w:ascii="黑体" w:hAnsi="黑体" w:eastAsia="黑体" w:cs="Calibri"/>
                          <w:bCs/>
                          <w:color w:val="000000" w:themeColor="text1"/>
                          <w:kern w:val="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 w:cs="Calibri"/>
                          <w:bCs/>
                          <w:color w:val="000000" w:themeColor="text1"/>
                          <w:kern w:val="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Calibri"/>
                          <w:bCs/>
                          <w:color w:val="000000" w:themeColor="text1"/>
                          <w:kern w:val="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Calibri"/>
          <w:b/>
          <w:bCs/>
          <w:kern w:val="0"/>
          <w:szCs w:val="21"/>
        </w:rPr>
        <w:t>ICS 03.180</w:t>
      </w:r>
      <w:r>
        <w:rPr>
          <w:rFonts w:ascii="黑体" w:hAnsi="黑体" w:eastAsia="黑体" w:cs="Calibri"/>
          <w:b/>
          <w:bCs/>
          <w:kern w:val="0"/>
          <w:szCs w:val="21"/>
        </w:rPr>
        <w:t xml:space="preserve">                                           </w:t>
      </w:r>
      <w:bookmarkStart w:id="6" w:name="_GoBack"/>
      <w:bookmarkEnd w:id="6"/>
    </w:p>
    <w:p>
      <w:pPr>
        <w:widowControl/>
        <w:adjustRightInd w:val="0"/>
        <w:snapToGrid w:val="0"/>
        <w:spacing w:after="200" w:line="220" w:lineRule="atLeast"/>
        <w:jc w:val="left"/>
        <w:rPr>
          <w:rFonts w:ascii="黑体" w:hAnsi="黑体" w:eastAsia="黑体" w:cs="Calibri"/>
          <w:b/>
          <w:bCs/>
          <w:kern w:val="0"/>
          <w:szCs w:val="21"/>
        </w:rPr>
      </w:pPr>
      <w:r>
        <w:rPr>
          <w:rFonts w:hint="eastAsia" w:ascii="黑体" w:hAnsi="黑体" w:eastAsia="黑体" w:cs="Calibri"/>
          <w:b/>
          <w:bCs/>
          <w:kern w:val="0"/>
          <w:szCs w:val="21"/>
        </w:rPr>
        <w:t>A 18</w:t>
      </w:r>
      <w:r>
        <w:rPr>
          <w:rFonts w:ascii="黑体" w:hAnsi="黑体" w:eastAsia="黑体" w:cs="Calibri"/>
          <w:b/>
          <w:bCs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ascii="黑体" w:hAnsi="黑体" w:eastAsia="黑体" w:cs="Calibri"/>
          <w:b/>
          <w:bCs/>
          <w:kern w:val="0"/>
          <w:szCs w:val="21"/>
        </w:rPr>
      </w:pPr>
      <w:r>
        <w:rPr>
          <w:rFonts w:hint="eastAsia" w:ascii="黑体" w:hAnsi="黑体" w:eastAsia="黑体" w:cs="楷体"/>
          <w:szCs w:val="21"/>
        </w:rPr>
        <w:t>CAEA</w:t>
      </w:r>
      <w:r>
        <w:rPr>
          <w:rFonts w:ascii="黑体" w:hAnsi="黑体" w:eastAsia="黑体" w:cs="楷体"/>
          <w:szCs w:val="21"/>
        </w:rPr>
        <w:t xml:space="preserve"> </w:t>
      </w:r>
      <w:r>
        <w:rPr>
          <w:rFonts w:hint="eastAsia" w:ascii="黑体" w:hAnsi="黑体" w:eastAsia="黑体" w:cs="楷体"/>
          <w:szCs w:val="21"/>
        </w:rPr>
        <w:t>00</w:t>
      </w:r>
      <w:r>
        <w:rPr>
          <w:rFonts w:ascii="黑体" w:hAnsi="黑体" w:eastAsia="黑体" w:cs="楷体"/>
          <w:szCs w:val="21"/>
        </w:rPr>
        <w:t>09</w:t>
      </w:r>
    </w:p>
    <w:p>
      <w:pPr>
        <w:widowControl/>
        <w:adjustRightInd w:val="0"/>
        <w:snapToGrid w:val="0"/>
        <w:spacing w:after="200" w:line="220" w:lineRule="atLeast"/>
        <w:jc w:val="distribute"/>
        <w:rPr>
          <w:rFonts w:ascii="宋体" w:hAnsi="宋体" w:eastAsia="宋体" w:cs="仿宋"/>
          <w:sz w:val="52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52"/>
          <w:szCs w:val="28"/>
        </w:rPr>
        <w:t>团体标准</w:t>
      </w:r>
    </w:p>
    <w:p>
      <w:pPr>
        <w:widowControl/>
        <w:adjustRightInd w:val="0"/>
        <w:snapToGrid w:val="0"/>
        <w:spacing w:after="200" w:line="220" w:lineRule="atLeas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T/CAEA 0009-2021</w:t>
      </w:r>
    </w:p>
    <w:p>
      <w:pPr>
        <w:widowControl/>
        <w:adjustRightInd w:val="0"/>
        <w:snapToGrid w:val="0"/>
        <w:spacing w:after="200" w:line="220" w:lineRule="atLeast"/>
        <w:rPr>
          <w:rFonts w:ascii="仿宋" w:hAnsi="仿宋" w:eastAsia="仿宋" w:cs="仿宋"/>
          <w:u w:val="thick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thick"/>
        </w:rPr>
        <w:t>_____________________________________________________</w:t>
      </w:r>
      <w:r>
        <w:rPr>
          <w:rFonts w:ascii="仿宋" w:hAnsi="仿宋" w:eastAsia="仿宋" w:cs="仿宋"/>
          <w:kern w:val="0"/>
          <w:sz w:val="28"/>
          <w:szCs w:val="28"/>
          <w:u w:val="thick"/>
        </w:rPr>
        <w:t xml:space="preserve">        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增材制造（3D打印）师资能力培训与评价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仿宋" w:hAnsi="仿宋" w:eastAsia="仿宋" w:cs="仿宋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 w:cs="Times New Roman"/>
          <w:u w:val="single"/>
        </w:rPr>
      </w:pP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>20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</w:rPr>
        <w:t>21</w:t>
      </w: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>.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</w:rPr>
        <w:t>.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黑体" w:hAnsi="黑体" w:eastAsia="黑体" w:cs="仿宋"/>
          <w:kern w:val="0"/>
          <w:sz w:val="28"/>
          <w:szCs w:val="28"/>
          <w:u w:val="single"/>
        </w:rPr>
        <w:t xml:space="preserve">发布 </w:t>
      </w:r>
      <w:r>
        <w:rPr>
          <w:rFonts w:ascii="黑体" w:hAnsi="黑体" w:eastAsia="黑体" w:cs="仿宋"/>
          <w:kern w:val="0"/>
          <w:sz w:val="28"/>
          <w:szCs w:val="28"/>
          <w:u w:val="single"/>
        </w:rPr>
        <w:t xml:space="preserve">  </w:t>
      </w: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 xml:space="preserve">                       20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</w:rPr>
        <w:t>21</w:t>
      </w: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>.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</w:rPr>
        <w:t>.</w:t>
      </w:r>
      <w:r>
        <w:rPr>
          <w:rFonts w:hint="eastAsia" w:ascii="黑体" w:hAnsi="黑体" w:eastAsia="黑体" w:cs="Times New Roman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ascii="黑体" w:hAnsi="黑体" w:eastAsia="黑体" w:cs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仿宋"/>
          <w:kern w:val="0"/>
          <w:sz w:val="28"/>
          <w:szCs w:val="28"/>
          <w:u w:val="single"/>
        </w:rPr>
        <w:t>实施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仿宋" w:hAnsi="仿宋" w:eastAsia="仿宋" w:cs="仿宋"/>
          <w:b/>
          <w:bCs/>
          <w:sz w:val="18"/>
          <w:szCs w:val="18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中国成人教育协会标准化工作委员会办公室发布</w:t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次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\l "_Toc6384" </w:instrText>
      </w:r>
      <w:r>
        <w:fldChar w:fldCharType="separate"/>
      </w:r>
      <w:r>
        <w:rPr>
          <w:rFonts w:hint="eastAsia" w:ascii="宋体" w:hAnsi="宋体" w:eastAsia="宋体" w:cs="宋体"/>
          <w:szCs w:val="21"/>
        </w:rPr>
        <w:t>前  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\l "_Toc6384" </w:instrText>
      </w:r>
      <w:r>
        <w:fldChar w:fldCharType="separate"/>
      </w:r>
      <w:r>
        <w:rPr>
          <w:rFonts w:hint="eastAsia" w:ascii="宋体" w:hAnsi="宋体" w:eastAsia="宋体" w:cs="宋体"/>
          <w:szCs w:val="21"/>
        </w:rPr>
        <w:t>引  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\l "_Toc16400" </w:instrText>
      </w:r>
      <w:r>
        <w:fldChar w:fldCharType="separate"/>
      </w:r>
      <w:r>
        <w:rPr>
          <w:rFonts w:hint="eastAsia" w:ascii="宋体" w:hAnsi="宋体" w:eastAsia="宋体" w:cs="宋体"/>
          <w:szCs w:val="21"/>
        </w:rPr>
        <w:t>1 范围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\l "_Toc22402" </w:instrText>
      </w:r>
      <w:r>
        <w:fldChar w:fldCharType="separate"/>
      </w:r>
      <w:r>
        <w:rPr>
          <w:rFonts w:hint="eastAsia" w:ascii="宋体" w:hAnsi="宋体" w:eastAsia="宋体" w:cs="宋体"/>
          <w:szCs w:val="21"/>
        </w:rPr>
        <w:t>2 规范性引用文件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1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"_Toc3093"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t>3术语与定义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1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"_Toc3093"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t xml:space="preserve">4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师资</w:t>
      </w:r>
      <w:r>
        <w:rPr>
          <w:rFonts w:hint="eastAsia" w:ascii="宋体" w:hAnsi="宋体" w:eastAsia="宋体" w:cs="宋体"/>
          <w:color w:val="auto"/>
          <w:szCs w:val="21"/>
        </w:rPr>
        <w:t>能力分级与要求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3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"_Toc18410"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t xml:space="preserve">5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增材制造专业知识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5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6</w:t>
      </w:r>
      <w:r>
        <w:rPr>
          <w:rFonts w:hint="eastAsia" w:ascii="宋体" w:hAnsi="宋体" w:eastAsia="宋体" w:cs="宋体"/>
          <w:color w:val="auto"/>
          <w:szCs w:val="21"/>
        </w:rPr>
        <w:t>专业技能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default" w:ascii="宋体" w:hAnsi="宋体" w:eastAsia="宋体" w:cs="宋体"/>
          <w:color w:val="auto"/>
          <w:szCs w:val="21"/>
          <w:lang w:val="en-US"/>
        </w:rPr>
        <w:t>7</w:t>
      </w:r>
      <w:r>
        <w:rPr>
          <w:rFonts w:ascii="宋体" w:hAnsi="宋体" w:eastAsia="宋体" w:cs="宋体"/>
          <w:color w:val="auto"/>
          <w:szCs w:val="21"/>
        </w:rPr>
        <w:t xml:space="preserve"> 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7</w:t>
      </w:r>
      <w:r>
        <w:rPr>
          <w:rFonts w:hint="default" w:ascii="宋体" w:hAnsi="宋体" w:eastAsia="宋体" w:cs="宋体"/>
          <w:color w:val="auto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能力培训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10</w:t>
      </w:r>
    </w:p>
    <w:p>
      <w:pPr>
        <w:widowControl/>
        <w:tabs>
          <w:tab w:val="right" w:leader="dot" w:pos="8306"/>
        </w:tabs>
        <w:snapToGrid w:val="0"/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default" w:ascii="宋体" w:hAnsi="宋体" w:eastAsia="宋体" w:cs="宋体"/>
          <w:color w:val="auto"/>
          <w:szCs w:val="21"/>
          <w:lang w:val="en-US"/>
        </w:rPr>
        <w:t xml:space="preserve">8 </w:t>
      </w:r>
      <w:r>
        <w:rPr>
          <w:rFonts w:hint="eastAsia" w:ascii="宋体" w:hAnsi="宋体" w:eastAsia="宋体" w:cs="宋体"/>
          <w:color w:val="auto"/>
          <w:szCs w:val="21"/>
        </w:rPr>
        <w:t>能力评价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13</w:t>
      </w:r>
    </w:p>
    <w:p>
      <w:pPr>
        <w:widowControl/>
        <w:tabs>
          <w:tab w:val="right" w:leader="dot" w:pos="8306"/>
        </w:tabs>
        <w:snapToGrid w:val="0"/>
        <w:spacing w:line="360" w:lineRule="auto"/>
        <w:rPr>
          <w:rFonts w:ascii="宋体" w:hAnsi="宋体" w:eastAsia="宋体" w:cs="宋体"/>
          <w:color w:val="auto"/>
          <w:szCs w:val="21"/>
        </w:rPr>
      </w:pP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附录A（资料性）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1</w:t>
      </w:r>
      <w:r>
        <w:rPr>
          <w:rFonts w:hint="default" w:ascii="宋体" w:hAnsi="宋体" w:eastAsia="宋体" w:cs="宋体"/>
          <w:color w:val="auto"/>
          <w:szCs w:val="21"/>
          <w:lang w:val="en-US"/>
        </w:rPr>
        <w:t>5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表 1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default" w:ascii="宋体" w:hAnsi="宋体" w:eastAsia="宋体" w:cs="宋体"/>
          <w:color w:val="auto"/>
          <w:szCs w:val="21"/>
          <w:lang w:val="en-US"/>
        </w:rPr>
        <w:t>7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hint="default" w:ascii="宋体" w:hAnsi="宋体" w:eastAsia="宋体" w:cs="宋体"/>
          <w:color w:val="auto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Cs w:val="21"/>
        </w:rPr>
        <w:t>表 2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default" w:ascii="宋体" w:hAnsi="宋体" w:eastAsia="宋体" w:cs="宋体"/>
          <w:color w:val="auto"/>
          <w:szCs w:val="21"/>
          <w:lang w:val="en-US"/>
        </w:rPr>
        <w:t>10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表 3</w:t>
      </w:r>
      <w:r>
        <w:rPr>
          <w:rFonts w:hint="eastAsia" w:ascii="宋体" w:hAnsi="宋体" w:eastAsia="宋体" w:cs="宋体"/>
          <w:color w:val="auto"/>
          <w:szCs w:val="21"/>
        </w:rPr>
        <w:tab/>
      </w:r>
      <w:r>
        <w:rPr>
          <w:rFonts w:hint="eastAsia" w:ascii="宋体" w:hAnsi="宋体" w:eastAsia="宋体" w:cs="宋体"/>
          <w:color w:val="auto"/>
          <w:szCs w:val="21"/>
        </w:rPr>
        <w:t>11</w:t>
      </w:r>
    </w:p>
    <w:p>
      <w:pPr>
        <w:widowControl/>
        <w:tabs>
          <w:tab w:val="right" w:leader="dot" w:pos="8306"/>
        </w:tabs>
        <w:snapToGrid w:val="0"/>
        <w:spacing w:line="360" w:lineRule="auto"/>
        <w:jc w:val="center"/>
        <w:rPr>
          <w:rFonts w:ascii="宋体" w:hAnsi="宋体" w:eastAsia="宋体" w:cs="宋体"/>
          <w:color w:val="FF0000"/>
          <w:szCs w:val="21"/>
        </w:rPr>
      </w:pPr>
    </w:p>
    <w:p>
      <w:pPr>
        <w:widowControl/>
        <w:tabs>
          <w:tab w:val="right" w:leader="dot" w:pos="8306"/>
        </w:tabs>
        <w:snapToGrid w:val="0"/>
        <w:spacing w:line="360" w:lineRule="auto"/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51135349"/>
      <w:bookmarkStart w:id="1" w:name="_Toc5113535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前</w:t>
      </w:r>
      <w:r>
        <w:rPr>
          <w:rFonts w:ascii="黑体" w:hAnsi="黑体" w:eastAsia="黑体"/>
          <w:sz w:val="32"/>
          <w:szCs w:val="32"/>
        </w:rPr>
        <w:t xml:space="preserve">    言</w:t>
      </w:r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本标准按照GB/T 1.1-2020给</w:t>
      </w:r>
      <w:r>
        <w:rPr>
          <w:rFonts w:ascii="宋体" w:hAnsi="宋体" w:eastAsia="宋体"/>
          <w:szCs w:val="21"/>
        </w:rPr>
        <w:t>出的规则起草</w:t>
      </w:r>
      <w:r>
        <w:rPr>
          <w:rFonts w:hint="eastAsia" w:ascii="宋体" w:hAnsi="宋体" w:eastAsia="宋体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本标准由</w:t>
      </w:r>
      <w:r>
        <w:rPr>
          <w:rFonts w:ascii="宋体" w:hAnsi="宋体" w:eastAsia="宋体"/>
          <w:szCs w:val="21"/>
        </w:rPr>
        <w:t>金九教育科技有限公司、石家庄学院、临沂大学、山东中科智能设备有限公司、朗动教育科技（武汉）有限公司、明丹医疗科技有限公司、金九智能增材制造有限公司</w:t>
      </w:r>
      <w:r>
        <w:rPr>
          <w:rFonts w:hint="eastAsia" w:ascii="宋体" w:hAnsi="宋体" w:eastAsia="宋体"/>
          <w:szCs w:val="21"/>
        </w:rPr>
        <w:t>联合提出。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本标准由中国成人教育协会归口。</w:t>
      </w:r>
    </w:p>
    <w:p>
      <w:pPr>
        <w:widowControl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本标准起草单位：金九教育科技有限公司、</w:t>
      </w:r>
      <w:r>
        <w:rPr>
          <w:rFonts w:ascii="宋体" w:hAnsi="宋体" w:eastAsia="宋体"/>
          <w:szCs w:val="21"/>
        </w:rPr>
        <w:t>石家庄学院</w:t>
      </w:r>
    </w:p>
    <w:p>
      <w:pPr>
        <w:widowControl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本标准起草人：</w:t>
      </w:r>
      <w:r>
        <w:rPr>
          <w:rFonts w:ascii="宋体" w:hAnsi="宋体" w:eastAsia="宋体"/>
          <w:szCs w:val="21"/>
        </w:rPr>
        <w:t>孙建起，张远明，史源平，赵翠俭，刘彦军，刘迎娣，刘佳，杨彦彬，冯栓良，孙宏强、常保捷、崔海</w:t>
      </w:r>
      <w:r>
        <w:rPr>
          <w:rFonts w:hint="eastAsia" w:ascii="宋体" w:hAnsi="宋体" w:eastAsia="宋体"/>
          <w:szCs w:val="21"/>
        </w:rPr>
        <w:t>、庞龙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引</w:t>
      </w:r>
      <w:r>
        <w:rPr>
          <w:rFonts w:ascii="黑体" w:hAnsi="黑体" w:eastAsia="黑体"/>
          <w:sz w:val="32"/>
          <w:szCs w:val="32"/>
        </w:rPr>
        <w:t xml:space="preserve">    言</w:t>
      </w:r>
      <w:bookmarkEnd w:id="1"/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《增材制造（3D打印）师资能力培训与评价》是以社会需求为导向，以专业知识和专业技能为核心，在充分考虑经济社会的发展和科学技术发展的基础上，客观地分析现阶段增材制造（3D打印）师资需求而编制。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国家标准化管理委员会、工信部、科技部、教育部等部门日前印发《增材制造标准领航行动计划（2020-2022年）》提出，2022年要建立起对接国际的增材制造新型标准的基本体系。《增材制造（</w:t>
      </w:r>
      <w:bookmarkStart w:id="2" w:name="OLE_LINK1"/>
      <w:r>
        <w:rPr>
          <w:rFonts w:hint="eastAsia" w:ascii="宋体" w:hAnsi="宋体" w:eastAsia="宋体"/>
          <w:color w:val="auto"/>
          <w:szCs w:val="21"/>
        </w:rPr>
        <w:t>3D打印</w:t>
      </w:r>
      <w:bookmarkEnd w:id="2"/>
      <w:r>
        <w:rPr>
          <w:rFonts w:hint="eastAsia" w:ascii="宋体" w:hAnsi="宋体" w:eastAsia="宋体"/>
          <w:color w:val="auto"/>
          <w:szCs w:val="21"/>
        </w:rPr>
        <w:t>）师资能力培训与评价》应是这一基本体系的重要内容。对建设数量充足、结构合理的师资队伍，有着重要的现实意义与战略意义。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该标准将增材制造（3D打印）师资分为初、中、高三个等级，明确规定了培训增材制造（3D打印）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教学指导工作人员</w:t>
      </w:r>
      <w:r>
        <w:rPr>
          <w:rFonts w:hint="eastAsia" w:ascii="宋体" w:hAnsi="宋体" w:eastAsia="宋体"/>
          <w:color w:val="auto"/>
          <w:szCs w:val="21"/>
        </w:rPr>
        <w:t>的师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资</w:t>
      </w:r>
      <w:r>
        <w:rPr>
          <w:rFonts w:hint="eastAsia" w:ascii="宋体" w:hAnsi="宋体" w:eastAsia="宋体"/>
          <w:color w:val="auto"/>
          <w:szCs w:val="21"/>
        </w:rPr>
        <w:t>应具备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/>
          <w:color w:val="auto"/>
          <w:szCs w:val="21"/>
        </w:rPr>
        <w:t>职业道德、基本条件和任职能力，应掌握的专业知识和专业技能，以及能力培训的内容、方式、培训课程与学时、培训质量控制和能力评价的要求。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金九教育科技有限公司联合了石家庄学院、临沂大学等多所高校及增材制造行业企业，组建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了建</w:t>
      </w:r>
      <w:r>
        <w:rPr>
          <w:rFonts w:hint="eastAsia" w:ascii="宋体" w:hAnsi="宋体" w:eastAsia="宋体"/>
          <w:color w:val="auto"/>
          <w:szCs w:val="21"/>
        </w:rPr>
        <w:t>标工作团队，对该标准的建设进行了深入的研究，并根据成人教育培训服务三项国家标准原则，共同起草了本标准。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8" w:type="default"/>
          <w:footerReference r:id="rId9" w:type="even"/>
          <w:pgSz w:w="11906" w:h="16838"/>
          <w:pgMar w:top="1440" w:right="1800" w:bottom="1440" w:left="1800" w:header="851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增材制造（3D打印）师资能力培训与评价</w:t>
      </w:r>
    </w:p>
    <w:p>
      <w:pPr>
        <w:rPr>
          <w:rFonts w:ascii="宋体" w:hAnsi="宋体" w:eastAsia="宋体"/>
          <w:szCs w:val="21"/>
        </w:rPr>
      </w:pPr>
    </w:p>
    <w:p>
      <w:pPr>
        <w:pStyle w:val="2"/>
        <w:spacing w:before="0" w:after="0" w:line="240" w:lineRule="auto"/>
        <w:rPr>
          <w:rFonts w:ascii="黑体" w:hAnsi="黑体" w:eastAsia="黑体"/>
          <w:b w:val="0"/>
          <w:bCs w:val="0"/>
          <w:sz w:val="21"/>
          <w:szCs w:val="21"/>
        </w:rPr>
      </w:pPr>
      <w:bookmarkStart w:id="3" w:name="_Toc51135351"/>
      <w:r>
        <w:rPr>
          <w:rFonts w:hint="eastAsia" w:ascii="黑体" w:hAnsi="黑体" w:eastAsia="黑体"/>
          <w:b w:val="0"/>
          <w:bCs w:val="0"/>
          <w:sz w:val="21"/>
          <w:szCs w:val="21"/>
        </w:rPr>
        <w:t>1 范围</w:t>
      </w:r>
      <w:bookmarkEnd w:id="3"/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本标准规定了增材制造（3D打印）师资能力培训及能力评价要求。本标准适用于增材制造师资能力培训与评价，相关增材制造人才培训可参考执行。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pStyle w:val="2"/>
        <w:spacing w:before="0" w:after="0" w:line="240" w:lineRule="auto"/>
        <w:rPr>
          <w:rFonts w:ascii="黑体" w:hAnsi="黑体" w:eastAsia="黑体"/>
          <w:b w:val="0"/>
          <w:bCs w:val="0"/>
          <w:sz w:val="21"/>
          <w:szCs w:val="21"/>
        </w:rPr>
      </w:pPr>
      <w:bookmarkStart w:id="4" w:name="_Toc51135352"/>
      <w:r>
        <w:rPr>
          <w:rFonts w:hint="eastAsia" w:ascii="黑体" w:hAnsi="黑体" w:eastAsia="黑体"/>
          <w:b w:val="0"/>
          <w:bCs w:val="0"/>
          <w:sz w:val="21"/>
          <w:szCs w:val="21"/>
        </w:rPr>
        <w:t>2 规范性引用文件</w:t>
      </w:r>
      <w:bookmarkEnd w:id="4"/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下列文件对于本文件的应用是必不可少的。凡是注日期的引用文件，仅注日期的版本适用于文件。凡是不注日期的引用文件，其最新版本（包括所有的修改单）适用于本文件。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GB/T 28914—2012 成人教育培训工作者服务能力评价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fldChar w:fldCharType="begin"/>
      </w:r>
      <w:r>
        <w:instrText xml:space="preserve"> HYPERLINK "http://std.samr.gov.cn/gb/search/gbDetailed?id=71F772D828D8D3A7E05397BE0A0AB82A" \t "http://std.samr.gov.cn/search/_blank" </w:instrText>
      </w:r>
      <w:r>
        <w:fldChar w:fldCharType="separate"/>
      </w:r>
      <w:r>
        <w:rPr>
          <w:rFonts w:ascii="宋体" w:hAnsi="宋体" w:eastAsia="宋体"/>
          <w:szCs w:val="21"/>
        </w:rPr>
        <w:t>GB/T 35351-2017  增材制造 术语</w:t>
      </w:r>
      <w:r>
        <w:rPr>
          <w:rFonts w:ascii="宋体" w:hAnsi="宋体" w:eastAsia="宋体"/>
          <w:szCs w:val="21"/>
        </w:rPr>
        <w:fldChar w:fldCharType="end"/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fldChar w:fldCharType="begin"/>
      </w:r>
      <w:r>
        <w:instrText xml:space="preserve"> HYPERLINK "http://std.samr.gov.cn/gb/search/gbDetailed?id=71F772D82BC4D3A7E05397BE0A0AB82A" \t "http://std.samr.gov.cn/search/_blank" </w:instrText>
      </w:r>
      <w:r>
        <w:fldChar w:fldCharType="separate"/>
      </w:r>
      <w:r>
        <w:rPr>
          <w:rFonts w:ascii="宋体" w:hAnsi="宋体" w:eastAsia="宋体"/>
          <w:szCs w:val="21"/>
        </w:rPr>
        <w:t>GB/T 35021-2018  增材制造 工艺分类及原材料</w:t>
      </w:r>
      <w:r>
        <w:rPr>
          <w:rFonts w:ascii="宋体" w:hAnsi="宋体" w:eastAsia="宋体"/>
          <w:szCs w:val="21"/>
        </w:rPr>
        <w:fldChar w:fldCharType="end"/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GB/T 35022-2018 增材制造 主要特性和测试方法零件和粉末原材料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GB/T 37463-2019  增材制造 塑料材料粉末床熔融工艺规范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fldChar w:fldCharType="begin"/>
      </w:r>
      <w:r>
        <w:instrText xml:space="preserve"> HYPERLINK "http://std.samr.gov.cn/gb/search/gbDetailed?id=5DDA8BA19FF018DEE05397BE0A0A95A7" \t "http://std.samr.gov.cn/search/_blank" </w:instrText>
      </w:r>
      <w:r>
        <w:fldChar w:fldCharType="separate"/>
      </w:r>
      <w:r>
        <w:rPr>
          <w:rFonts w:ascii="宋体" w:hAnsi="宋体" w:eastAsia="宋体"/>
          <w:szCs w:val="21"/>
        </w:rPr>
        <w:t>GB/T 3</w:t>
      </w:r>
      <w:r>
        <w:rPr>
          <w:rFonts w:hint="eastAsia" w:ascii="宋体" w:hAnsi="宋体" w:eastAsia="宋体"/>
          <w:szCs w:val="21"/>
        </w:rPr>
        <w:t>7698</w:t>
      </w:r>
      <w:r>
        <w:rPr>
          <w:rFonts w:ascii="宋体" w:hAnsi="宋体" w:eastAsia="宋体"/>
          <w:szCs w:val="21"/>
        </w:rPr>
        <w:t>-201</w:t>
      </w:r>
      <w:r>
        <w:rPr>
          <w:rFonts w:hint="eastAsia" w:ascii="宋体" w:hAnsi="宋体" w:eastAsia="宋体"/>
          <w:szCs w:val="21"/>
        </w:rPr>
        <w:t>9</w:t>
      </w:r>
      <w:r>
        <w:rPr>
          <w:rFonts w:ascii="宋体" w:hAnsi="宋体" w:eastAsia="宋体"/>
          <w:szCs w:val="21"/>
        </w:rPr>
        <w:t>  增材制造 设计要求、指南和建议</w:t>
      </w:r>
      <w:r>
        <w:rPr>
          <w:rFonts w:ascii="宋体" w:hAnsi="宋体" w:eastAsia="宋体"/>
          <w:szCs w:val="21"/>
        </w:rPr>
        <w:fldChar w:fldCharType="end"/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39251-2020  </w:t>
      </w:r>
      <w:r>
        <w:rPr>
          <w:rFonts w:ascii="宋体" w:hAnsi="宋体" w:eastAsia="宋体"/>
          <w:szCs w:val="21"/>
        </w:rPr>
        <w:t>增材制造 金属粉末性能表征方法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39252-2020  </w:t>
      </w:r>
      <w:r>
        <w:rPr>
          <w:rFonts w:ascii="宋体" w:hAnsi="宋体" w:eastAsia="宋体"/>
          <w:szCs w:val="21"/>
        </w:rPr>
        <w:t>增材制造 金属材料粉末床熔融工艺规范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39253-2020  </w:t>
      </w:r>
      <w:r>
        <w:rPr>
          <w:rFonts w:ascii="宋体" w:hAnsi="宋体" w:eastAsia="宋体"/>
          <w:szCs w:val="21"/>
        </w:rPr>
        <w:t>增材制造 金属材料定向能量沉积工艺规范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39254-2020  </w:t>
      </w:r>
      <w:r>
        <w:rPr>
          <w:rFonts w:ascii="宋体" w:hAnsi="宋体" w:eastAsia="宋体"/>
          <w:szCs w:val="21"/>
        </w:rPr>
        <w:t>增材制造 金属制件机械性能评价通则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39331-2020  </w:t>
      </w:r>
      <w:r>
        <w:rPr>
          <w:rFonts w:ascii="宋体" w:hAnsi="宋体" w:eastAsia="宋体"/>
          <w:szCs w:val="21"/>
        </w:rPr>
        <w:t>增材制造 数据处理通则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GB/T 39328-2020  </w:t>
      </w:r>
      <w:r>
        <w:rPr>
          <w:rFonts w:ascii="宋体" w:hAnsi="宋体" w:eastAsia="宋体"/>
          <w:szCs w:val="21"/>
        </w:rPr>
        <w:t>增材制造 塑料材料挤出成形工艺规范</w:t>
      </w:r>
    </w:p>
    <w:p>
      <w:pPr>
        <w:rPr>
          <w:rFonts w:ascii="宋体" w:hAnsi="宋体" w:eastAsia="宋体"/>
          <w:szCs w:val="21"/>
        </w:rPr>
      </w:pPr>
    </w:p>
    <w:p>
      <w:pPr>
        <w:pStyle w:val="2"/>
        <w:spacing w:before="0" w:after="0" w:line="240" w:lineRule="auto"/>
        <w:rPr>
          <w:rFonts w:ascii="黑体" w:hAnsi="黑体" w:eastAsia="黑体"/>
          <w:b w:val="0"/>
          <w:bCs w:val="0"/>
          <w:sz w:val="21"/>
          <w:szCs w:val="21"/>
        </w:rPr>
      </w:pPr>
      <w:bookmarkStart w:id="5" w:name="_Toc51135353"/>
      <w:r>
        <w:rPr>
          <w:rFonts w:ascii="黑体" w:hAnsi="黑体" w:eastAsia="黑体"/>
          <w:b w:val="0"/>
          <w:bCs w:val="0"/>
          <w:sz w:val="21"/>
          <w:szCs w:val="21"/>
        </w:rPr>
        <w:t>3</w:t>
      </w:r>
      <w:r>
        <w:rPr>
          <w:rFonts w:hint="eastAsia" w:ascii="黑体" w:hAnsi="黑体" w:eastAsia="黑体"/>
          <w:b w:val="0"/>
          <w:bCs w:val="0"/>
          <w:sz w:val="21"/>
          <w:szCs w:val="21"/>
        </w:rPr>
        <w:t xml:space="preserve"> 术语</w:t>
      </w:r>
      <w:bookmarkEnd w:id="5"/>
      <w:r>
        <w:rPr>
          <w:rFonts w:hint="eastAsia" w:ascii="黑体" w:hAnsi="黑体" w:eastAsia="黑体"/>
          <w:b w:val="0"/>
          <w:bCs w:val="0"/>
          <w:sz w:val="21"/>
          <w:szCs w:val="21"/>
        </w:rPr>
        <w:t>与定义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HYPERLINK "http://std.samr.gov.cn/gb/search/gbDetailed?id=71F772D828D8D3A7E05397BE0A0AB82A" \t "http://std.samr.gov.cn/search/_blank"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《</w:t>
      </w:r>
      <w:r>
        <w:rPr>
          <w:rFonts w:ascii="宋体" w:hAnsi="宋体" w:eastAsia="宋体"/>
          <w:szCs w:val="21"/>
        </w:rPr>
        <w:t>增材制造术语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  <w:lang w:eastAsia="zh-CN"/>
        </w:rPr>
        <w:t>》</w:t>
      </w:r>
      <w:r>
        <w:rPr>
          <w:rFonts w:ascii="宋体" w:hAnsi="宋体" w:eastAsia="宋体"/>
          <w:szCs w:val="21"/>
        </w:rPr>
        <w:t>GB/T 35351-2017 </w:t>
      </w:r>
      <w:r>
        <w:rPr>
          <w:rFonts w:hint="eastAsia" w:ascii="宋体" w:hAnsi="宋体" w:eastAsia="宋体"/>
          <w:szCs w:val="21"/>
          <w:lang w:val="en-US" w:eastAsia="zh-CN"/>
        </w:rPr>
        <w:t>与下列术语适用于本文件。</w:t>
      </w:r>
    </w:p>
    <w:p/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3.1 增材制造 </w:t>
      </w:r>
      <w:r>
        <w:rPr>
          <w:rFonts w:ascii="Times New Roman" w:hAnsi="Times New Roman" w:eastAsia="黑体" w:cs="Times New Roman"/>
          <w:szCs w:val="21"/>
        </w:rPr>
        <w:t>additive manufacturing;AM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以三维模型数据为基础,通过材料堆积的方式制造零件或实物的工艺。</w:t>
      </w:r>
    </w:p>
    <w:p>
      <w:pPr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黑体" w:hAnsi="黑体" w:eastAsia="黑体"/>
          <w:szCs w:val="21"/>
        </w:rPr>
        <w:t>3.2 3D打印</w:t>
      </w:r>
      <w:r>
        <w:rPr>
          <w:rFonts w:hint="eastAsia" w:ascii="Times New Roman" w:hAnsi="Times New Roman" w:eastAsia="黑体" w:cs="Times New Roman"/>
          <w:szCs w:val="21"/>
        </w:rPr>
        <w:t>3D printing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3D</w:t>
      </w:r>
      <w:r>
        <w:rPr>
          <w:rFonts w:hint="eastAsia" w:ascii="宋体" w:hAnsi="宋体" w:eastAsia="宋体"/>
          <w:szCs w:val="21"/>
        </w:rPr>
        <w:t>英文全称</w:t>
      </w:r>
      <w:r>
        <w:rPr>
          <w:rFonts w:ascii="Times New Roman" w:hAnsi="Times New Roman" w:eastAsia="宋体" w:cs="Times New Roman"/>
          <w:szCs w:val="21"/>
        </w:rPr>
        <w:t>three dimensional</w:t>
      </w:r>
      <w:r>
        <w:rPr>
          <w:rFonts w:hint="eastAsia" w:ascii="宋体" w:hAnsi="宋体" w:eastAsia="宋体"/>
          <w:szCs w:val="21"/>
        </w:rPr>
        <w:t>，指三个方向的维度，3D打印是增材制造通俗叫法。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683326522"/>
      </w:sdtPr>
      <w:sdtEndPr>
        <w:rPr>
          <w:rFonts w:hint="eastAsia"/>
        </w:rPr>
      </w:sdtEndPr>
      <w:sdtContent/>
    </w:sdt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sdt>
      <w:sdtPr>
        <w:id w:val="1213474058"/>
      </w:sdtPr>
      <w:sdtEndPr>
        <w:rPr>
          <w:rFonts w:hint="eastAsia"/>
        </w:rPr>
      </w:sdtEndPr>
      <w:sdtContent/>
    </w:sdt>
    <w:r>
      <w:rPr>
        <w:rFonts w:hint="eastAsia"/>
      </w:rPr>
      <w:t>Ⅰ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683326522"/>
      </w:sdtPr>
      <w:sdtEndPr>
        <w:rPr>
          <w:rFonts w:hint="eastAsia"/>
        </w:rPr>
      </w:sdtEndPr>
      <w:sdtContent/>
    </w:sdt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02779770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02779770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  <w:wordWrap w:val="0"/>
      <w:ind w:right="72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81178775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81178775"/>
                    </w:sdtPr>
                    <w:sdtContent>
                      <w:p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II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2021-11-03T22:48:10Z</dcterms:created>
  <dc:creator>dell</dc:creator>
  <cp:lastModifiedBy>霜叶没红</cp:lastModifiedBy>
  <dcterms:modified xsi:type="dcterms:W3CDTF">2021-11-03T22:49:48Z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3DDA3AEF6EA1419D8BD2B120066FFFA3</vt:lpwstr>
  </property>
</Properties>
</file>