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65.020.20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31</w:t>
            </w:r>
            <w:r>
              <w:rPr>
                <w:rFonts w:ascii="黑体" w:hAnsi="黑体" w:eastAsia="黑体"/>
                <w:sz w:val="21"/>
                <w:szCs w:val="21"/>
              </w:rPr>
              <w:fldChar w:fldCharType="end"/>
            </w:r>
            <w:bookmarkEnd w:id="1"/>
          </w:p>
        </w:tc>
      </w:tr>
    </w:tbl>
    <w:p>
      <w:pPr>
        <w:pStyle w:val="51"/>
        <w:framePr w:w="9639" w:h="1065" w:hRule="exact" w:hSpace="181" w:vSpace="181" w:wrap="around" w:hAnchor="page" w:x="1325" w:y="2064"/>
        <w:rPr>
          <w:rFonts w:ascii="黑体" w:hAnsi="黑体" w:eastAsia="黑体"/>
          <w:b w:val="0"/>
          <w:bCs w:val="0"/>
          <w:w w:val="100"/>
          <w:sz w:val="72"/>
          <w:szCs w:val="72"/>
        </w:rPr>
      </w:pPr>
      <w:bookmarkStart w:id="2" w:name="_Hlk26473981"/>
      <w:r>
        <w:rPr>
          <w:rFonts w:hint="eastAsia" w:ascii="黑体" w:eastAsia="黑体"/>
          <w:b w:val="0"/>
          <w:w w:val="100"/>
          <w:sz w:val="72"/>
          <w:szCs w:val="72"/>
        </w:rPr>
        <w:t>团体</w:t>
      </w:r>
      <w:r>
        <w:rPr>
          <w:rFonts w:hint="eastAsia" w:ascii="黑体" w:hAnsi="黑体" w:eastAsia="黑体"/>
          <w:b w:val="0"/>
          <w:bCs w:val="0"/>
          <w:w w:val="100"/>
          <w:sz w:val="72"/>
          <w:szCs w:val="72"/>
        </w:rPr>
        <w:t>标准</w:t>
      </w:r>
    </w:p>
    <w:bookmarkEnd w:id="2"/>
    <w:p>
      <w:pPr>
        <w:pStyle w:val="196"/>
        <w:framePr/>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GXAF</w:t>
      </w:r>
      <w:r>
        <w:fldChar w:fldCharType="end"/>
      </w:r>
      <w:bookmarkEnd w:id="3"/>
      <w:r>
        <w:fldChar w:fldCharType="begin">
          <w:ffData>
            <w:name w:val="NSTD_CODE_F"/>
            <w:enabled/>
            <w:calcOnExit w:val="0"/>
            <w:textInput>
              <w:default w:val="XXXX"/>
            </w:textInput>
          </w:ffData>
        </w:fldChar>
      </w:r>
      <w:bookmarkStart w:id="4" w:name="NSTD_CODE_F"/>
      <w:r>
        <w:instrText xml:space="preserve"> FORMTEXT </w:instrText>
      </w:r>
      <w:r>
        <w:fldChar w:fldCharType="separate"/>
      </w:r>
      <w:r>
        <w:rPr>
          <w:rFonts w:hint="eastAsia"/>
          <w:lang w:eastAsia="zh-CN"/>
        </w:rPr>
        <w:t>0</w:t>
      </w:r>
      <w:r>
        <w:rPr>
          <w:rFonts w:hint="eastAsia"/>
          <w:lang w:val="en-US" w:eastAsia="zh-CN"/>
        </w:rPr>
        <w:t>002</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2021</w:t>
      </w:r>
      <w:r>
        <w:fldChar w:fldCharType="end"/>
      </w:r>
      <w:bookmarkEnd w:id="5"/>
    </w:p>
    <w:p>
      <w:pPr>
        <w:pStyle w:val="197"/>
        <w:framePr/>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1026"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v:path arrowok="t"/>
            <v:fill focussize="0,0"/>
            <v:stroke/>
            <v:imagedata o:title=""/>
            <o:lock v:ext="edit"/>
          </v:line>
        </w:pic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豇豆药肥双减施用技术规程</w:t>
      </w:r>
      <w:r>
        <w:fldChar w:fldCharType="end"/>
      </w:r>
      <w:bookmarkEnd w:id="7"/>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Code of practice for cowpea pesticide and fertilizer reducing application</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pPr>
        <w:pStyle w:val="126"/>
        <w:framePr w:w="9639" w:h="6974" w:hRule="exact" w:wrap="around" w:vAnchor="page" w:hAnchor="page" w:x="1419" w:y="6408" w:anchorLock="1"/>
        <w:spacing w:before="180" w:line="240" w:lineRule="atLeast"/>
        <w:textAlignment w:val="bottom"/>
        <w:rPr>
          <w:sz w:val="21"/>
          <w:szCs w:val="28"/>
        </w:rPr>
      </w:pPr>
    </w:p>
    <w:p>
      <w:pPr>
        <w:pStyle w:val="126"/>
        <w:framePr w:w="9639" w:h="6974" w:hRule="exact" w:wrap="around" w:vAnchor="page" w:hAnchor="page" w:x="1419" w:y="6408" w:anchorLock="1"/>
        <w:spacing w:beforeLines="300" w:afterLines="30" w:line="240" w:lineRule="auto"/>
        <w:textAlignment w:val="bottom"/>
        <w:rPr>
          <w:b/>
          <w:sz w:val="21"/>
          <w:szCs w:val="28"/>
        </w:rPr>
      </w:pPr>
    </w:p>
    <w:p>
      <w:pPr>
        <w:pStyle w:val="194"/>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2021</w:t>
      </w:r>
      <w:r>
        <w:rPr>
          <w:rFonts w:ascii="黑体"/>
        </w:rPr>
        <w:fldChar w:fldCharType="end"/>
      </w:r>
      <w:bookmarkEnd w:id="10"/>
      <w:r>
        <w:rPr>
          <w:rFonts w:ascii="黑体"/>
        </w:rPr>
        <w:t>-</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hint="eastAsia" w:ascii="黑体"/>
          <w:lang w:eastAsia="zh-CN"/>
        </w:rPr>
        <w:t>0</w:t>
      </w:r>
      <w:r>
        <w:rPr>
          <w:rFonts w:hint="eastAsia" w:ascii="黑体"/>
          <w:lang w:val="en-US" w:eastAsia="zh-CN"/>
        </w:rPr>
        <w:t>8</w:t>
      </w:r>
      <w:r>
        <w:rPr>
          <w:rFonts w:ascii="黑体"/>
        </w:rPr>
        <w:fldChar w:fldCharType="end"/>
      </w:r>
      <w:bookmarkEnd w:id="11"/>
      <w:r>
        <w:rPr>
          <w:rFonts w:ascii="黑体"/>
        </w:rPr>
        <w:t>-</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hint="eastAsia" w:ascii="黑体"/>
          <w:lang w:eastAsia="zh-CN"/>
        </w:rPr>
        <w:t>1</w:t>
      </w:r>
      <w:r>
        <w:rPr>
          <w:rFonts w:hint="eastAsia" w:ascii="黑体"/>
          <w:lang w:val="en-US" w:eastAsia="zh-CN"/>
        </w:rPr>
        <w:t>0</w:t>
      </w:r>
      <w:r>
        <w:rPr>
          <w:rFonts w:ascii="黑体"/>
        </w:rPr>
        <w:fldChar w:fldCharType="end"/>
      </w:r>
      <w:bookmarkEnd w:id="12"/>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2021</w:t>
      </w:r>
      <w:r>
        <w:rPr>
          <w:rFonts w:ascii="黑体"/>
        </w:rPr>
        <w:fldChar w:fldCharType="end"/>
      </w:r>
      <w:bookmarkEnd w:id="13"/>
      <w:r>
        <w:rPr>
          <w:rFonts w:ascii="黑体"/>
        </w:rPr>
        <w:t>-</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hint="eastAsia" w:ascii="黑体"/>
          <w:lang w:eastAsia="zh-CN"/>
        </w:rPr>
        <w:t>0</w:t>
      </w:r>
      <w:r>
        <w:rPr>
          <w:rFonts w:hint="eastAsia" w:ascii="黑体"/>
          <w:lang w:val="en-US" w:eastAsia="zh-CN"/>
        </w:rPr>
        <w:t>9</w:t>
      </w:r>
      <w:r>
        <w:rPr>
          <w:rFonts w:ascii="黑体"/>
        </w:rPr>
        <w:fldChar w:fldCharType="end"/>
      </w:r>
      <w:bookmarkEnd w:id="14"/>
      <w:r>
        <w:rPr>
          <w:rFonts w:ascii="黑体"/>
        </w:rPr>
        <w:t>-</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hint="eastAsia" w:ascii="黑体"/>
          <w:lang w:eastAsia="zh-CN"/>
        </w:rPr>
        <w:t>0</w:t>
      </w:r>
      <w:r>
        <w:rPr>
          <w:rFonts w:hint="eastAsia" w:ascii="黑体"/>
          <w:lang w:val="en-US" w:eastAsia="zh-CN"/>
        </w:rPr>
        <w:t>1</w:t>
      </w:r>
      <w:r>
        <w:rPr>
          <w:rFonts w:ascii="黑体"/>
        </w:rPr>
        <w:fldChar w:fldCharType="end"/>
      </w:r>
      <w:bookmarkEnd w:id="15"/>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广西肥料协会</w:t>
      </w:r>
      <w:r>
        <w:rPr>
          <w:rFonts w:hAnsi="黑体"/>
          <w:w w:val="100"/>
          <w:sz w:val="28"/>
        </w:rPr>
        <w:fldChar w:fldCharType="end"/>
      </w:r>
      <w:bookmarkEnd w:id="16"/>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w:pict>
          <v:line id="直接连接符 5" o:spid="_x0000_s1028"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v:path arrowok="t"/>
            <v:fill focussize="0,0"/>
            <v:stroke/>
            <v:imagedata o:title=""/>
            <o:lock v:ext="edit"/>
            <w10:anchorlock/>
          </v:line>
        </w:pict>
      </w:r>
    </w:p>
    <w:p>
      <w:pPr>
        <w:pStyle w:val="90"/>
        <w:spacing w:after="360"/>
      </w:pPr>
      <w:bookmarkStart w:id="17" w:name="BookMark2"/>
      <w:r>
        <w:rPr>
          <w:spacing w:val="320"/>
        </w:rPr>
        <w:t>前</w:t>
      </w:r>
      <w:r>
        <w:t>言</w:t>
      </w:r>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rPr>
        <w:t>本文件由广西肥料协会提出并归口。</w:t>
      </w:r>
    </w:p>
    <w:p>
      <w:pPr>
        <w:pStyle w:val="57"/>
        <w:ind w:firstLine="420"/>
      </w:pPr>
      <w:r>
        <w:rPr>
          <w:rFonts w:hint="eastAsia"/>
        </w:rPr>
        <w:t>本文件起草单位：广西壮族自治区农业科学院植物保护研究所、广西壮族自治区农业科学院蔬菜研究所、广西田园生化股份有限公司、广西大学。</w:t>
      </w:r>
    </w:p>
    <w:p>
      <w:pPr>
        <w:pStyle w:val="57"/>
        <w:ind w:firstLine="420"/>
      </w:pPr>
      <w:r>
        <w:rPr>
          <w:rFonts w:hint="eastAsia"/>
        </w:rPr>
        <w:t>本文件主要起草人：杨朗、刘妤玲、姜建军、周生茂、谢爱兰、张朝明、黄立飞。</w:t>
      </w:r>
    </w:p>
    <w:p>
      <w:pPr>
        <w:pStyle w:val="57"/>
        <w:ind w:firstLine="420"/>
        <w:sectPr>
          <w:headerReference r:id="rId11" w:type="default"/>
          <w:footerReference r:id="rId13" w:type="default"/>
          <w:headerReference r:id="rId12" w:type="even"/>
          <w:footerReference r:id="rId14" w:type="even"/>
          <w:pgSz w:w="11906" w:h="16838"/>
          <w:pgMar w:top="567" w:right="1134" w:bottom="1134" w:left="1134" w:header="1418" w:footer="1134" w:gutter="284"/>
          <w:pgNumType w:fmt="upperRoman" w:start="1"/>
          <w:cols w:space="425" w:num="1"/>
          <w:formProt w:val="0"/>
          <w:docGrid w:linePitch="312" w:charSpace="0"/>
        </w:sectPr>
      </w:pPr>
    </w:p>
    <w:bookmarkEnd w:id="17"/>
    <w:p>
      <w:pPr>
        <w:spacing w:line="20" w:lineRule="exact"/>
        <w:jc w:val="center"/>
        <w:rPr>
          <w:rFonts w:ascii="黑体" w:hAnsi="黑体" w:eastAsia="黑体"/>
          <w:sz w:val="32"/>
          <w:szCs w:val="32"/>
        </w:rPr>
      </w:pPr>
      <w:bookmarkStart w:id="18" w:name="BookMark4"/>
    </w:p>
    <w:p>
      <w:pPr>
        <w:spacing w:line="20" w:lineRule="exact"/>
        <w:jc w:val="center"/>
        <w:rPr>
          <w:rFonts w:ascii="黑体" w:hAnsi="黑体" w:eastAsia="黑体"/>
          <w:sz w:val="32"/>
          <w:szCs w:val="32"/>
        </w:rPr>
      </w:pPr>
    </w:p>
    <w:sdt>
      <w:sdtPr>
        <w:tag w:val="NEW_STAND_NAME"/>
        <w:id w:val="595910757"/>
        <w:lock w:val="sdtLocked"/>
        <w:placeholder>
          <w:docPart w:val="C32925FBBC104B199A7D742B6B82A22B"/>
        </w:placeholder>
      </w:sdtPr>
      <w:sdtContent>
        <w:p>
          <w:pPr>
            <w:pStyle w:val="178"/>
            <w:spacing w:beforeLines="182" w:afterLines="220"/>
          </w:pPr>
          <w:bookmarkStart w:id="19" w:name="NEW_STAND_NAME"/>
          <w:r>
            <w:rPr>
              <w:rFonts w:hint="eastAsia"/>
            </w:rPr>
            <w:t>豇豆药肥双减施用技术规程</w:t>
          </w:r>
        </w:p>
      </w:sdtContent>
    </w:sdt>
    <w:bookmarkEnd w:id="19"/>
    <w:p>
      <w:pPr>
        <w:pStyle w:val="105"/>
        <w:spacing w:before="240" w:after="240"/>
      </w:pPr>
      <w:bookmarkStart w:id="20" w:name="_Toc17233325"/>
      <w:bookmarkStart w:id="21" w:name="_Toc17233333"/>
      <w:bookmarkStart w:id="22" w:name="_Toc24884211"/>
      <w:bookmarkStart w:id="23" w:name="_Toc26718930"/>
      <w:bookmarkStart w:id="24" w:name="_Toc26986530"/>
      <w:bookmarkStart w:id="25" w:name="_Toc24884218"/>
      <w:bookmarkStart w:id="26" w:name="_Toc26648465"/>
      <w:bookmarkStart w:id="27" w:name="_Toc26986771"/>
      <w:r>
        <w:rPr>
          <w:rFonts w:hint="eastAsia"/>
        </w:rPr>
        <w:t>范围</w:t>
      </w:r>
      <w:bookmarkEnd w:id="20"/>
      <w:bookmarkEnd w:id="21"/>
      <w:bookmarkEnd w:id="22"/>
      <w:bookmarkEnd w:id="23"/>
      <w:bookmarkEnd w:id="24"/>
      <w:bookmarkEnd w:id="25"/>
      <w:bookmarkEnd w:id="26"/>
      <w:bookmarkEnd w:id="27"/>
    </w:p>
    <w:p>
      <w:pPr>
        <w:pStyle w:val="57"/>
        <w:ind w:firstLine="420"/>
      </w:pPr>
      <w:bookmarkStart w:id="28" w:name="_Toc17233326"/>
      <w:bookmarkStart w:id="29" w:name="_Toc17233334"/>
      <w:bookmarkStart w:id="30" w:name="_Toc24884212"/>
      <w:bookmarkStart w:id="31" w:name="_Toc24884219"/>
      <w:bookmarkStart w:id="32" w:name="_Toc26648466"/>
      <w:r>
        <w:rPr>
          <w:rFonts w:hint="eastAsia"/>
        </w:rPr>
        <w:t>本文件规定了豇豆肥料和农药的减量施用方法。</w:t>
      </w:r>
    </w:p>
    <w:p>
      <w:pPr>
        <w:pStyle w:val="57"/>
        <w:ind w:firstLine="420"/>
      </w:pPr>
      <w:r>
        <w:rPr>
          <w:rFonts w:hint="eastAsia"/>
        </w:rPr>
        <w:t>本文件适用于豇豆生产的肥料和农药减量施用。</w:t>
      </w:r>
    </w:p>
    <w:p>
      <w:pPr>
        <w:pStyle w:val="105"/>
        <w:spacing w:before="240" w:after="240"/>
        <w:rPr>
          <w:color w:val="auto"/>
        </w:rPr>
      </w:pPr>
      <w:bookmarkStart w:id="33" w:name="_Toc26718931"/>
      <w:bookmarkStart w:id="34" w:name="_Toc26986531"/>
      <w:bookmarkStart w:id="35" w:name="_Toc26986772"/>
      <w:r>
        <w:rPr>
          <w:rFonts w:hint="eastAsia"/>
          <w:color w:val="auto"/>
        </w:rPr>
        <w:t>规范性引用文件</w:t>
      </w:r>
      <w:bookmarkEnd w:id="28"/>
      <w:bookmarkEnd w:id="29"/>
      <w:bookmarkEnd w:id="30"/>
      <w:bookmarkEnd w:id="31"/>
      <w:bookmarkEnd w:id="32"/>
      <w:bookmarkEnd w:id="33"/>
      <w:bookmarkEnd w:id="34"/>
      <w:bookmarkEnd w:id="35"/>
    </w:p>
    <w:sdt>
      <w:sdtPr>
        <w:rPr>
          <w:rFonts w:hint="eastAsia"/>
          <w:color w:val="auto"/>
        </w:rPr>
        <w:id w:val="715848253"/>
        <w:placeholder>
          <w:docPart w:val="6A72A8838AA34363973BD3ACFE8E79D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pPr>
            <w:pStyle w:val="57"/>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color w:val="auto"/>
        </w:rPr>
      </w:pPr>
      <w:r>
        <w:rPr>
          <w:rFonts w:hint="eastAsia"/>
          <w:color w:val="auto"/>
        </w:rPr>
        <w:t>G</w:t>
      </w:r>
      <w:r>
        <w:rPr>
          <w:color w:val="auto"/>
        </w:rPr>
        <w:t>B/T 8321</w:t>
      </w:r>
      <w:r>
        <w:rPr>
          <w:rFonts w:hint="eastAsia"/>
          <w:color w:val="auto"/>
        </w:rPr>
        <w:t>（所有部分） 农药合理使用准则</w:t>
      </w:r>
    </w:p>
    <w:p>
      <w:pPr>
        <w:pStyle w:val="57"/>
        <w:ind w:firstLine="420"/>
        <w:rPr>
          <w:color w:val="auto"/>
        </w:rPr>
      </w:pPr>
      <w:r>
        <w:rPr>
          <w:rFonts w:hint="eastAsia"/>
          <w:color w:val="auto"/>
        </w:rPr>
        <w:t>NY/T 496  肥料合理使用准则  通则</w:t>
      </w:r>
    </w:p>
    <w:p>
      <w:pPr>
        <w:pStyle w:val="105"/>
        <w:spacing w:before="240" w:after="240"/>
        <w:rPr>
          <w:color w:val="auto"/>
        </w:rPr>
      </w:pPr>
      <w:r>
        <w:rPr>
          <w:rFonts w:hint="eastAsia"/>
          <w:color w:val="auto"/>
          <w:szCs w:val="21"/>
        </w:rPr>
        <w:t>术语和定义</w:t>
      </w:r>
    </w:p>
    <w:p>
      <w:pPr>
        <w:pStyle w:val="57"/>
        <w:ind w:firstLine="420"/>
        <w:rPr>
          <w:color w:val="auto"/>
        </w:rPr>
      </w:pPr>
      <w:bookmarkStart w:id="36" w:name="_Toc26986532"/>
      <w:bookmarkEnd w:id="36"/>
      <w:sdt>
        <w:sdtPr>
          <w:rPr>
            <w:color w:val="auto"/>
          </w:rPr>
          <w:id w:val="-1909835108"/>
          <w:placeholder>
            <w:docPart w:val="6D1B6D8EF7AA455A8F1B61145BBFCE9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r>
            <w:rPr>
              <w:color w:val="auto"/>
            </w:rPr>
            <w:t>下列术语和定义适用于本文件。</w:t>
          </w:r>
        </w:sdtContent>
      </w:sdt>
    </w:p>
    <w:p>
      <w:pPr>
        <w:pStyle w:val="224"/>
        <w:ind w:left="420" w:hanging="420" w:hangingChars="200"/>
        <w:rPr>
          <w:rFonts w:ascii="黑体" w:hAnsi="黑体" w:eastAsia="黑体"/>
          <w:color w:val="auto"/>
        </w:rPr>
      </w:pPr>
      <w:r>
        <w:rPr>
          <w:rFonts w:ascii="黑体" w:hAnsi="黑体" w:eastAsia="黑体"/>
          <w:color w:val="auto"/>
        </w:rPr>
        <w:br w:type="textWrapping"/>
      </w:r>
      <w:r>
        <w:rPr>
          <w:rFonts w:hint="eastAsia" w:ascii="黑体" w:hAnsi="黑体" w:eastAsia="黑体"/>
          <w:color w:val="auto"/>
        </w:rPr>
        <w:t>药肥双减</w:t>
      </w:r>
      <w:r>
        <w:rPr>
          <w:rFonts w:ascii="黑体" w:hAnsi="黑体" w:eastAsia="黑体"/>
          <w:color w:val="auto"/>
        </w:rPr>
        <w:t>pesticide and fertilizer reducing application</w:t>
      </w:r>
    </w:p>
    <w:p>
      <w:pPr>
        <w:pStyle w:val="57"/>
        <w:ind w:firstLine="420"/>
        <w:rPr>
          <w:color w:val="auto"/>
        </w:rPr>
      </w:pPr>
      <w:r>
        <w:rPr>
          <w:rFonts w:hint="eastAsia"/>
          <w:color w:val="auto"/>
        </w:rPr>
        <w:t>化学农药和化学肥料的减量施用。</w:t>
      </w:r>
    </w:p>
    <w:p>
      <w:pPr>
        <w:pStyle w:val="224"/>
        <w:ind w:left="420" w:hanging="420" w:hangingChars="200"/>
        <w:rPr>
          <w:rFonts w:ascii="黑体" w:hAnsi="黑体" w:eastAsia="黑体"/>
          <w:color w:val="auto"/>
        </w:rPr>
      </w:pPr>
      <w:r>
        <w:rPr>
          <w:rFonts w:ascii="黑体" w:hAnsi="黑体" w:eastAsia="黑体"/>
          <w:color w:val="auto"/>
        </w:rPr>
        <w:br w:type="textWrapping"/>
      </w:r>
      <w:r>
        <w:rPr>
          <w:rFonts w:hint="eastAsia" w:ascii="黑体" w:hAnsi="黑体" w:eastAsia="黑体"/>
          <w:color w:val="auto"/>
        </w:rPr>
        <w:t>无人机</w:t>
      </w:r>
      <w:r>
        <w:rPr>
          <w:rFonts w:ascii="黑体" w:hAnsi="黑体" w:eastAsia="黑体"/>
          <w:color w:val="auto"/>
        </w:rPr>
        <w:t>unmanned aerial vehicle</w:t>
      </w:r>
    </w:p>
    <w:p>
      <w:pPr>
        <w:pStyle w:val="57"/>
        <w:ind w:firstLine="420"/>
        <w:rPr>
          <w:color w:val="auto"/>
        </w:rPr>
      </w:pPr>
      <w:r>
        <w:rPr>
          <w:rFonts w:hint="eastAsia"/>
          <w:color w:val="auto"/>
        </w:rPr>
        <w:t>可喷施农药的无人驾驶的小型旋翼飞机。</w:t>
      </w:r>
    </w:p>
    <w:p>
      <w:pPr>
        <w:pStyle w:val="224"/>
        <w:ind w:left="420" w:hanging="420" w:hangingChars="200"/>
        <w:rPr>
          <w:rFonts w:ascii="黑体" w:hAnsi="黑体" w:eastAsia="黑体"/>
          <w:color w:val="auto"/>
        </w:rPr>
      </w:pPr>
      <w:r>
        <w:rPr>
          <w:rFonts w:ascii="黑体" w:hAnsi="黑体" w:eastAsia="黑体"/>
          <w:color w:val="auto"/>
        </w:rPr>
        <w:br w:type="textWrapping"/>
      </w:r>
      <w:r>
        <w:rPr>
          <w:rFonts w:hint="eastAsia" w:ascii="黑体" w:hAnsi="黑体" w:eastAsia="黑体"/>
          <w:color w:val="auto"/>
        </w:rPr>
        <w:t>低容量喷雾</w:t>
      </w:r>
      <w:r>
        <w:rPr>
          <w:rFonts w:ascii="黑体" w:hAnsi="黑体" w:eastAsia="黑体"/>
          <w:color w:val="auto"/>
        </w:rPr>
        <w:t>low volume spray</w:t>
      </w:r>
    </w:p>
    <w:p>
      <w:pPr>
        <w:pStyle w:val="57"/>
        <w:ind w:firstLine="420"/>
        <w:rPr>
          <w:color w:val="auto"/>
        </w:rPr>
      </w:pPr>
      <w:r>
        <w:rPr>
          <w:rFonts w:hint="eastAsia"/>
          <w:color w:val="auto"/>
        </w:rPr>
        <w:t>又称细喷雾或弥雾，是一种以水稀释，喷洒药液量为2.5</w:t>
      </w:r>
      <w:r>
        <w:rPr>
          <w:color w:val="auto"/>
        </w:rPr>
        <w:t>L/</w:t>
      </w:r>
      <w:r>
        <w:rPr>
          <w:rFonts w:hint="eastAsia"/>
          <w:color w:val="auto"/>
        </w:rPr>
        <w:t>6</w:t>
      </w:r>
      <w:r>
        <w:rPr>
          <w:color w:val="auto"/>
        </w:rPr>
        <w:t>67m</w:t>
      </w:r>
      <w:r>
        <w:rPr>
          <w:color w:val="auto"/>
          <w:vertAlign w:val="superscript"/>
        </w:rPr>
        <w:t>2</w:t>
      </w:r>
      <w:r>
        <w:rPr>
          <w:rFonts w:hint="eastAsia" w:hAnsi="宋体"/>
          <w:color w:val="auto"/>
        </w:rPr>
        <w:t>～</w:t>
      </w:r>
      <w:r>
        <w:rPr>
          <w:rFonts w:hint="eastAsia"/>
          <w:color w:val="auto"/>
        </w:rPr>
        <w:t>12.5</w:t>
      </w:r>
      <w:r>
        <w:rPr>
          <w:color w:val="auto"/>
        </w:rPr>
        <w:t>L/</w:t>
      </w:r>
      <w:r>
        <w:rPr>
          <w:rFonts w:hint="eastAsia"/>
          <w:color w:val="auto"/>
        </w:rPr>
        <w:t>6</w:t>
      </w:r>
      <w:r>
        <w:rPr>
          <w:color w:val="auto"/>
        </w:rPr>
        <w:t>67m</w:t>
      </w:r>
      <w:r>
        <w:rPr>
          <w:color w:val="auto"/>
          <w:vertAlign w:val="superscript"/>
        </w:rPr>
        <w:t>2</w:t>
      </w:r>
      <w:r>
        <w:rPr>
          <w:rFonts w:hint="eastAsia"/>
          <w:color w:val="auto"/>
        </w:rPr>
        <w:t>，雾滴中值直径为150μm</w:t>
      </w:r>
      <w:r>
        <w:rPr>
          <w:rFonts w:hint="eastAsia" w:hAnsi="宋体"/>
          <w:color w:val="auto"/>
        </w:rPr>
        <w:t>～</w:t>
      </w:r>
      <w:r>
        <w:rPr>
          <w:rFonts w:hint="eastAsia"/>
          <w:color w:val="auto"/>
        </w:rPr>
        <w:t>250μm，采用针对性喷雾和飘移性喷雾相结合的喷雾方式。</w:t>
      </w:r>
    </w:p>
    <w:p>
      <w:pPr>
        <w:pStyle w:val="105"/>
        <w:spacing w:before="240" w:after="240"/>
        <w:rPr>
          <w:color w:val="auto"/>
        </w:rPr>
      </w:pPr>
      <w:r>
        <w:rPr>
          <w:rFonts w:hint="eastAsia"/>
          <w:color w:val="auto"/>
        </w:rPr>
        <w:t>播种前种子处理</w:t>
      </w:r>
    </w:p>
    <w:p>
      <w:pPr>
        <w:pStyle w:val="57"/>
        <w:ind w:firstLine="420"/>
        <w:rPr>
          <w:color w:val="auto"/>
        </w:rPr>
      </w:pPr>
      <w:r>
        <w:rPr>
          <w:rFonts w:hint="eastAsia"/>
          <w:color w:val="auto"/>
        </w:rPr>
        <w:t>挑选饱满、无病虫害、无损伤、无霉变、无杂质的种子，于播种前晾晒0.5</w:t>
      </w:r>
      <w:r>
        <w:rPr>
          <w:rFonts w:hint="eastAsia" w:hAnsi="宋体"/>
          <w:color w:val="auto"/>
        </w:rPr>
        <w:t>d～1d</w:t>
      </w:r>
      <w:r>
        <w:rPr>
          <w:rFonts w:hint="eastAsia"/>
          <w:color w:val="auto"/>
        </w:rPr>
        <w:t>，避免暴晒。</w:t>
      </w:r>
    </w:p>
    <w:p>
      <w:pPr>
        <w:pStyle w:val="105"/>
        <w:spacing w:before="240" w:after="240"/>
        <w:rPr>
          <w:color w:val="auto"/>
        </w:rPr>
      </w:pPr>
      <w:r>
        <w:rPr>
          <w:rFonts w:hint="eastAsia"/>
          <w:color w:val="auto"/>
        </w:rPr>
        <w:t>豇豆肥料减量施用</w:t>
      </w:r>
    </w:p>
    <w:p>
      <w:pPr>
        <w:pStyle w:val="106"/>
        <w:spacing w:before="120" w:after="120"/>
        <w:rPr>
          <w:color w:val="auto"/>
        </w:rPr>
      </w:pPr>
      <w:r>
        <w:rPr>
          <w:rFonts w:hint="eastAsia"/>
          <w:color w:val="auto"/>
        </w:rPr>
        <w:t>基本要求</w:t>
      </w:r>
    </w:p>
    <w:p>
      <w:pPr>
        <w:pStyle w:val="57"/>
        <w:ind w:firstLine="420"/>
        <w:rPr>
          <w:color w:val="auto"/>
        </w:rPr>
      </w:pPr>
      <w:r>
        <w:rPr>
          <w:rFonts w:hint="eastAsia"/>
          <w:color w:val="auto"/>
        </w:rPr>
        <w:t>应符合NY/T 496的规定。</w:t>
      </w:r>
    </w:p>
    <w:p>
      <w:pPr>
        <w:pStyle w:val="106"/>
        <w:spacing w:before="120" w:after="120"/>
        <w:rPr>
          <w:color w:val="auto"/>
        </w:rPr>
      </w:pPr>
      <w:r>
        <w:rPr>
          <w:rFonts w:hint="eastAsia"/>
          <w:color w:val="auto"/>
        </w:rPr>
        <w:t>叶面肥施用</w:t>
      </w:r>
    </w:p>
    <w:p>
      <w:pPr>
        <w:pStyle w:val="66"/>
        <w:spacing w:before="120" w:after="120"/>
        <w:ind w:left="0"/>
        <w:rPr>
          <w:color w:val="auto"/>
        </w:rPr>
      </w:pPr>
      <w:r>
        <w:rPr>
          <w:rFonts w:hint="eastAsia"/>
          <w:color w:val="auto"/>
        </w:rPr>
        <w:t>叶面肥配比</w:t>
      </w:r>
    </w:p>
    <w:p>
      <w:pPr>
        <w:pStyle w:val="57"/>
        <w:ind w:firstLine="420"/>
        <w:rPr>
          <w:color w:val="auto"/>
        </w:rPr>
      </w:pPr>
      <w:r>
        <w:rPr>
          <w:rFonts w:hint="eastAsia"/>
          <w:color w:val="auto"/>
        </w:rPr>
        <w:t>含氨基酸水溶肥料（氨基酸≥100g/L，Fe</w:t>
      </w:r>
      <w:r>
        <w:rPr>
          <w:rFonts w:hint="eastAsia" w:hAnsi="宋体"/>
          <w:color w:val="auto"/>
        </w:rPr>
        <w:t>＋</w:t>
      </w:r>
      <w:r>
        <w:rPr>
          <w:rFonts w:hint="eastAsia"/>
          <w:color w:val="auto"/>
        </w:rPr>
        <w:t>Mn</w:t>
      </w:r>
      <w:r>
        <w:rPr>
          <w:rFonts w:hint="eastAsia" w:hAnsi="宋体"/>
          <w:color w:val="auto"/>
        </w:rPr>
        <w:t>＋</w:t>
      </w:r>
      <w:r>
        <w:rPr>
          <w:rFonts w:hint="eastAsia"/>
          <w:color w:val="auto"/>
        </w:rPr>
        <w:t>Zn</w:t>
      </w:r>
      <w:r>
        <w:rPr>
          <w:rFonts w:hint="eastAsia" w:hAnsi="宋体"/>
          <w:color w:val="auto"/>
        </w:rPr>
        <w:t>＋</w:t>
      </w:r>
      <w:r>
        <w:rPr>
          <w:rFonts w:hint="eastAsia"/>
          <w:color w:val="auto"/>
        </w:rPr>
        <w:t>B≥20g/L），含腐植酸水溶肥料（腐植酸≥30g/L，N</w:t>
      </w:r>
      <w:r>
        <w:rPr>
          <w:rFonts w:hint="eastAsia" w:hAnsi="宋体"/>
          <w:color w:val="auto"/>
        </w:rPr>
        <w:t>＋</w:t>
      </w:r>
      <w:r>
        <w:rPr>
          <w:rFonts w:hint="eastAsia"/>
          <w:color w:val="auto"/>
        </w:rPr>
        <w:t>P</w:t>
      </w:r>
      <w:r>
        <w:rPr>
          <w:rFonts w:hint="eastAsia"/>
          <w:color w:val="auto"/>
          <w:vertAlign w:val="subscript"/>
        </w:rPr>
        <w:t>2</w:t>
      </w:r>
      <w:r>
        <w:rPr>
          <w:rFonts w:hint="eastAsia"/>
          <w:color w:val="auto"/>
        </w:rPr>
        <w:t>O</w:t>
      </w:r>
      <w:r>
        <w:rPr>
          <w:rFonts w:hint="eastAsia"/>
          <w:color w:val="auto"/>
          <w:vertAlign w:val="subscript"/>
        </w:rPr>
        <w:t>5</w:t>
      </w:r>
      <w:r>
        <w:rPr>
          <w:rFonts w:hint="eastAsia" w:hAnsi="宋体"/>
          <w:color w:val="auto"/>
        </w:rPr>
        <w:t>＋</w:t>
      </w:r>
      <w:r>
        <w:rPr>
          <w:rFonts w:hint="eastAsia"/>
          <w:color w:val="auto"/>
        </w:rPr>
        <w:t>K</w:t>
      </w:r>
      <w:r>
        <w:rPr>
          <w:rFonts w:hint="eastAsia"/>
          <w:color w:val="auto"/>
          <w:vertAlign w:val="subscript"/>
        </w:rPr>
        <w:t>2</w:t>
      </w:r>
      <w:r>
        <w:rPr>
          <w:rFonts w:hint="eastAsia"/>
          <w:color w:val="auto"/>
        </w:rPr>
        <w:t>O≥200g/L），微量元素水溶肥料（Cu</w:t>
      </w:r>
      <w:r>
        <w:rPr>
          <w:rFonts w:hint="eastAsia" w:hAnsi="宋体"/>
          <w:color w:val="auto"/>
        </w:rPr>
        <w:t>＋</w:t>
      </w:r>
      <w:r>
        <w:rPr>
          <w:rFonts w:hint="eastAsia"/>
          <w:color w:val="auto"/>
        </w:rPr>
        <w:t>Fe</w:t>
      </w:r>
      <w:r>
        <w:rPr>
          <w:rFonts w:hint="eastAsia" w:hAnsi="宋体"/>
          <w:color w:val="auto"/>
        </w:rPr>
        <w:t>＋</w:t>
      </w:r>
      <w:r>
        <w:rPr>
          <w:rFonts w:hint="eastAsia"/>
          <w:color w:val="auto"/>
        </w:rPr>
        <w:t>Mn</w:t>
      </w:r>
      <w:r>
        <w:rPr>
          <w:rFonts w:hint="eastAsia" w:hAnsi="宋体"/>
          <w:color w:val="auto"/>
        </w:rPr>
        <w:t>＋</w:t>
      </w:r>
      <w:r>
        <w:rPr>
          <w:rFonts w:hint="eastAsia"/>
          <w:color w:val="auto"/>
        </w:rPr>
        <w:t>Zn</w:t>
      </w:r>
      <w:r>
        <w:rPr>
          <w:rFonts w:hint="eastAsia" w:hAnsi="宋体"/>
          <w:color w:val="auto"/>
        </w:rPr>
        <w:t>＋</w:t>
      </w:r>
      <w:r>
        <w:rPr>
          <w:rFonts w:hint="eastAsia"/>
          <w:color w:val="auto"/>
        </w:rPr>
        <w:t>B≥10.0</w:t>
      </w:r>
      <w:r>
        <w:rPr>
          <w:rFonts w:hint="eastAsia" w:hAnsi="宋体"/>
          <w:color w:val="auto"/>
        </w:rPr>
        <w:t>％</w:t>
      </w:r>
      <w:r>
        <w:rPr>
          <w:rFonts w:hint="eastAsia"/>
          <w:color w:val="auto"/>
        </w:rPr>
        <w:t>），磷酸二氢钾按施肥实际需要进行配比。</w:t>
      </w:r>
    </w:p>
    <w:p>
      <w:pPr>
        <w:pStyle w:val="66"/>
        <w:spacing w:before="120" w:after="120"/>
        <w:ind w:left="0"/>
        <w:rPr>
          <w:color w:val="auto"/>
        </w:rPr>
      </w:pPr>
      <w:r>
        <w:rPr>
          <w:rFonts w:hint="eastAsia"/>
          <w:color w:val="auto"/>
        </w:rPr>
        <w:t>施用方法</w:t>
      </w:r>
      <w:bookmarkStart w:id="41" w:name="_GoBack"/>
      <w:bookmarkEnd w:id="41"/>
    </w:p>
    <w:p>
      <w:pPr>
        <w:pStyle w:val="57"/>
        <w:ind w:firstLine="420"/>
        <w:rPr>
          <w:color w:val="auto"/>
        </w:rPr>
      </w:pPr>
      <w:r>
        <w:rPr>
          <w:rFonts w:hint="eastAsia"/>
          <w:color w:val="auto"/>
        </w:rPr>
        <w:t>先用少量的水稀释，然后定容到最终水量，摇匀。</w:t>
      </w:r>
    </w:p>
    <w:p>
      <w:pPr>
        <w:pStyle w:val="66"/>
        <w:spacing w:before="120" w:after="120"/>
        <w:ind w:left="0"/>
        <w:rPr>
          <w:color w:val="auto"/>
        </w:rPr>
      </w:pPr>
      <w:r>
        <w:rPr>
          <w:rFonts w:hint="eastAsia"/>
          <w:color w:val="auto"/>
        </w:rPr>
        <w:t>施用方法</w:t>
      </w:r>
    </w:p>
    <w:p>
      <w:pPr>
        <w:pStyle w:val="165"/>
        <w:rPr>
          <w:color w:val="auto"/>
        </w:rPr>
      </w:pPr>
      <w:r>
        <w:rPr>
          <w:rFonts w:hint="eastAsia"/>
          <w:color w:val="auto"/>
        </w:rPr>
        <w:t>使用背负式低容量喷雾器或无人机</w:t>
      </w:r>
      <w:r>
        <w:rPr>
          <w:rFonts w:hint="eastAsia" w:hAnsi="宋体" w:cs="宋体"/>
          <w:color w:val="auto"/>
          <w:szCs w:val="21"/>
        </w:rPr>
        <w:t>（单旋翼或多旋翼）</w:t>
      </w:r>
      <w:r>
        <w:rPr>
          <w:rFonts w:hint="eastAsia"/>
          <w:color w:val="auto"/>
        </w:rPr>
        <w:t>进行低容量喷雾施用时，用水量为2</w:t>
      </w:r>
      <w:r>
        <w:rPr>
          <w:color w:val="auto"/>
        </w:rPr>
        <w:t>L/</w:t>
      </w:r>
      <w:r>
        <w:rPr>
          <w:rFonts w:hint="eastAsia"/>
          <w:color w:val="auto"/>
        </w:rPr>
        <w:t>6</w:t>
      </w:r>
      <w:r>
        <w:rPr>
          <w:color w:val="auto"/>
        </w:rPr>
        <w:t>67m</w:t>
      </w:r>
      <w:r>
        <w:rPr>
          <w:color w:val="auto"/>
          <w:vertAlign w:val="superscript"/>
        </w:rPr>
        <w:t>2</w:t>
      </w:r>
      <w:r>
        <w:rPr>
          <w:rFonts w:hint="eastAsia" w:hAnsi="宋体"/>
          <w:color w:val="auto"/>
        </w:rPr>
        <w:t>～</w:t>
      </w:r>
      <w:r>
        <w:rPr>
          <w:rFonts w:hint="eastAsia"/>
          <w:color w:val="auto"/>
        </w:rPr>
        <w:t>1</w:t>
      </w:r>
      <w:r>
        <w:rPr>
          <w:color w:val="auto"/>
        </w:rPr>
        <w:t>0L/</w:t>
      </w:r>
      <w:r>
        <w:rPr>
          <w:rFonts w:hint="eastAsia"/>
          <w:color w:val="auto"/>
        </w:rPr>
        <w:t>6</w:t>
      </w:r>
      <w:r>
        <w:rPr>
          <w:color w:val="auto"/>
        </w:rPr>
        <w:t>67m</w:t>
      </w:r>
      <w:r>
        <w:rPr>
          <w:color w:val="auto"/>
          <w:vertAlign w:val="superscript"/>
        </w:rPr>
        <w:t>2</w:t>
      </w:r>
      <w:r>
        <w:rPr>
          <w:rFonts w:hint="eastAsia"/>
          <w:color w:val="auto"/>
        </w:rPr>
        <w:t>。</w:t>
      </w:r>
    </w:p>
    <w:p>
      <w:pPr>
        <w:pStyle w:val="165"/>
        <w:rPr>
          <w:color w:val="auto"/>
        </w:rPr>
      </w:pPr>
      <w:r>
        <w:rPr>
          <w:rFonts w:hint="eastAsia"/>
          <w:color w:val="auto"/>
        </w:rPr>
        <w:t>施用含氨基酸水溶肥料时，营养生长期用量为</w:t>
      </w:r>
      <w:r>
        <w:rPr>
          <w:color w:val="auto"/>
        </w:rPr>
        <w:t>4</w:t>
      </w:r>
      <w:r>
        <w:rPr>
          <w:rFonts w:hint="eastAsia"/>
          <w:color w:val="auto"/>
        </w:rPr>
        <w:t>0g/667m</w:t>
      </w:r>
      <w:r>
        <w:rPr>
          <w:rFonts w:hint="eastAsia"/>
          <w:color w:val="auto"/>
          <w:vertAlign w:val="superscript"/>
        </w:rPr>
        <w:t>2</w:t>
      </w:r>
      <w:r>
        <w:rPr>
          <w:rFonts w:hint="eastAsia" w:hAnsi="宋体"/>
          <w:color w:val="auto"/>
        </w:rPr>
        <w:t>～</w:t>
      </w:r>
      <w:r>
        <w:rPr>
          <w:color w:val="auto"/>
        </w:rPr>
        <w:t>5</w:t>
      </w:r>
      <w:r>
        <w:rPr>
          <w:rFonts w:hint="eastAsia"/>
          <w:color w:val="auto"/>
        </w:rPr>
        <w:t>0g/667m</w:t>
      </w:r>
      <w:r>
        <w:rPr>
          <w:rFonts w:hint="eastAsia"/>
          <w:color w:val="auto"/>
          <w:vertAlign w:val="superscript"/>
        </w:rPr>
        <w:t>2</w:t>
      </w:r>
      <w:r>
        <w:rPr>
          <w:rFonts w:hint="eastAsia"/>
          <w:color w:val="auto"/>
        </w:rPr>
        <w:t>，开花结果期用量为</w:t>
      </w:r>
      <w:r>
        <w:rPr>
          <w:color w:val="auto"/>
        </w:rPr>
        <w:t>5</w:t>
      </w:r>
      <w:r>
        <w:rPr>
          <w:rFonts w:hint="eastAsia"/>
          <w:color w:val="auto"/>
        </w:rPr>
        <w:t>0g/667m</w:t>
      </w:r>
      <w:r>
        <w:rPr>
          <w:rFonts w:hint="eastAsia"/>
          <w:color w:val="auto"/>
          <w:vertAlign w:val="superscript"/>
        </w:rPr>
        <w:t>2</w:t>
      </w:r>
      <w:r>
        <w:rPr>
          <w:rFonts w:hint="eastAsia" w:hAnsi="宋体"/>
          <w:color w:val="auto"/>
        </w:rPr>
        <w:t>～</w:t>
      </w:r>
      <w:r>
        <w:rPr>
          <w:color w:val="auto"/>
        </w:rPr>
        <w:t>7</w:t>
      </w:r>
      <w:r>
        <w:rPr>
          <w:rFonts w:hint="eastAsia"/>
          <w:color w:val="auto"/>
        </w:rPr>
        <w:t>0g/667m</w:t>
      </w:r>
      <w:r>
        <w:rPr>
          <w:rFonts w:hint="eastAsia"/>
          <w:color w:val="auto"/>
          <w:vertAlign w:val="superscript"/>
        </w:rPr>
        <w:t>2</w:t>
      </w:r>
      <w:r>
        <w:rPr>
          <w:rFonts w:hint="eastAsia"/>
          <w:color w:val="auto"/>
        </w:rPr>
        <w:t>。</w:t>
      </w:r>
    </w:p>
    <w:p>
      <w:pPr>
        <w:pStyle w:val="165"/>
        <w:rPr>
          <w:color w:val="auto"/>
        </w:rPr>
      </w:pPr>
      <w:r>
        <w:rPr>
          <w:rFonts w:hint="eastAsia"/>
          <w:color w:val="auto"/>
        </w:rPr>
        <w:t>施用含腐植酸水溶肥料时，营养生长期用量为</w:t>
      </w:r>
      <w:r>
        <w:rPr>
          <w:color w:val="auto"/>
        </w:rPr>
        <w:t>3</w:t>
      </w:r>
      <w:r>
        <w:rPr>
          <w:rFonts w:hint="eastAsia"/>
          <w:color w:val="auto"/>
        </w:rPr>
        <w:t>0g/667m</w:t>
      </w:r>
      <w:r>
        <w:rPr>
          <w:rFonts w:hint="eastAsia"/>
          <w:color w:val="auto"/>
          <w:vertAlign w:val="superscript"/>
        </w:rPr>
        <w:t>2</w:t>
      </w:r>
      <w:r>
        <w:rPr>
          <w:rFonts w:hint="eastAsia" w:hAnsi="宋体"/>
          <w:color w:val="auto"/>
        </w:rPr>
        <w:t>～</w:t>
      </w:r>
      <w:r>
        <w:rPr>
          <w:rFonts w:hint="eastAsia"/>
          <w:color w:val="auto"/>
        </w:rPr>
        <w:t>40g/667m</w:t>
      </w:r>
      <w:r>
        <w:rPr>
          <w:rFonts w:hint="eastAsia"/>
          <w:color w:val="auto"/>
          <w:vertAlign w:val="superscript"/>
        </w:rPr>
        <w:t>2</w:t>
      </w:r>
      <w:r>
        <w:rPr>
          <w:rFonts w:hint="eastAsia"/>
          <w:color w:val="auto"/>
        </w:rPr>
        <w:t>，开花结果期用量为40g/667m</w:t>
      </w:r>
      <w:r>
        <w:rPr>
          <w:rFonts w:hint="eastAsia"/>
          <w:color w:val="auto"/>
          <w:vertAlign w:val="superscript"/>
        </w:rPr>
        <w:t>2</w:t>
      </w:r>
      <w:r>
        <w:rPr>
          <w:rFonts w:hint="eastAsia" w:hAnsi="宋体"/>
          <w:color w:val="auto"/>
        </w:rPr>
        <w:t>～</w:t>
      </w:r>
      <w:r>
        <w:rPr>
          <w:rFonts w:hint="eastAsia"/>
          <w:color w:val="auto"/>
        </w:rPr>
        <w:t>60g/667m</w:t>
      </w:r>
      <w:r>
        <w:rPr>
          <w:rFonts w:hint="eastAsia"/>
          <w:color w:val="auto"/>
          <w:vertAlign w:val="superscript"/>
        </w:rPr>
        <w:t>2</w:t>
      </w:r>
      <w:r>
        <w:rPr>
          <w:rFonts w:hint="eastAsia"/>
          <w:color w:val="auto"/>
        </w:rPr>
        <w:t>。</w:t>
      </w:r>
    </w:p>
    <w:p>
      <w:pPr>
        <w:pStyle w:val="165"/>
        <w:rPr>
          <w:color w:val="auto"/>
        </w:rPr>
      </w:pPr>
      <w:r>
        <w:rPr>
          <w:rFonts w:hint="eastAsia"/>
          <w:color w:val="auto"/>
        </w:rPr>
        <w:t>施用微量元素水溶肥料时，营养生长期用量为</w:t>
      </w:r>
      <w:r>
        <w:rPr>
          <w:color w:val="auto"/>
        </w:rPr>
        <w:t>3</w:t>
      </w:r>
      <w:r>
        <w:rPr>
          <w:rFonts w:hint="eastAsia"/>
          <w:color w:val="auto"/>
        </w:rPr>
        <w:t>0g/667m</w:t>
      </w:r>
      <w:r>
        <w:rPr>
          <w:rFonts w:hint="eastAsia"/>
          <w:color w:val="auto"/>
          <w:vertAlign w:val="superscript"/>
        </w:rPr>
        <w:t>2</w:t>
      </w:r>
      <w:r>
        <w:rPr>
          <w:rFonts w:hint="eastAsia" w:hAnsi="宋体"/>
          <w:color w:val="auto"/>
        </w:rPr>
        <w:t>～</w:t>
      </w:r>
      <w:r>
        <w:rPr>
          <w:color w:val="auto"/>
        </w:rPr>
        <w:t>5</w:t>
      </w:r>
      <w:r>
        <w:rPr>
          <w:rFonts w:hint="eastAsia"/>
          <w:color w:val="auto"/>
        </w:rPr>
        <w:t>0g/667m</w:t>
      </w:r>
      <w:r>
        <w:rPr>
          <w:rFonts w:hint="eastAsia"/>
          <w:color w:val="auto"/>
          <w:vertAlign w:val="superscript"/>
        </w:rPr>
        <w:t>2</w:t>
      </w:r>
      <w:r>
        <w:rPr>
          <w:rFonts w:hint="eastAsia"/>
          <w:color w:val="auto"/>
        </w:rPr>
        <w:t>，开花结果期用量为50g/667m</w:t>
      </w:r>
      <w:r>
        <w:rPr>
          <w:rFonts w:hint="eastAsia"/>
          <w:color w:val="auto"/>
          <w:vertAlign w:val="superscript"/>
        </w:rPr>
        <w:t>2</w:t>
      </w:r>
      <w:r>
        <w:rPr>
          <w:rFonts w:hint="eastAsia" w:hAnsi="宋体"/>
          <w:color w:val="auto"/>
        </w:rPr>
        <w:t>～</w:t>
      </w:r>
      <w:r>
        <w:rPr>
          <w:color w:val="auto"/>
        </w:rPr>
        <w:t>7</w:t>
      </w:r>
      <w:r>
        <w:rPr>
          <w:rFonts w:hint="eastAsia"/>
          <w:color w:val="auto"/>
        </w:rPr>
        <w:t>0g/667m</w:t>
      </w:r>
      <w:r>
        <w:rPr>
          <w:rFonts w:hint="eastAsia"/>
          <w:color w:val="auto"/>
          <w:vertAlign w:val="superscript"/>
        </w:rPr>
        <w:t>2</w:t>
      </w:r>
      <w:r>
        <w:rPr>
          <w:rFonts w:hint="eastAsia"/>
          <w:color w:val="auto"/>
        </w:rPr>
        <w:t>。</w:t>
      </w:r>
    </w:p>
    <w:p>
      <w:pPr>
        <w:pStyle w:val="165"/>
        <w:rPr>
          <w:color w:val="auto"/>
        </w:rPr>
      </w:pPr>
      <w:r>
        <w:rPr>
          <w:rFonts w:hint="eastAsia"/>
          <w:color w:val="auto"/>
        </w:rPr>
        <w:t>施用磷酸二氢钾时,开花结果期用量为</w:t>
      </w:r>
      <w:r>
        <w:rPr>
          <w:color w:val="auto"/>
        </w:rPr>
        <w:t>40</w:t>
      </w:r>
      <w:r>
        <w:rPr>
          <w:rFonts w:hint="eastAsia"/>
          <w:color w:val="auto"/>
        </w:rPr>
        <w:t>g/667m</w:t>
      </w:r>
      <w:r>
        <w:rPr>
          <w:rFonts w:hint="eastAsia"/>
          <w:color w:val="auto"/>
          <w:vertAlign w:val="superscript"/>
        </w:rPr>
        <w:t>2</w:t>
      </w:r>
      <w:r>
        <w:rPr>
          <w:rFonts w:hint="eastAsia" w:hAnsi="宋体"/>
          <w:color w:val="auto"/>
        </w:rPr>
        <w:t>～</w:t>
      </w:r>
      <w:r>
        <w:rPr>
          <w:rFonts w:hint="eastAsia"/>
          <w:color w:val="auto"/>
        </w:rPr>
        <w:t>60g/667m</w:t>
      </w:r>
      <w:r>
        <w:rPr>
          <w:rFonts w:hint="eastAsia"/>
          <w:color w:val="auto"/>
          <w:vertAlign w:val="superscript"/>
        </w:rPr>
        <w:t>2</w:t>
      </w:r>
      <w:r>
        <w:rPr>
          <w:rFonts w:hint="eastAsia"/>
          <w:color w:val="auto"/>
        </w:rPr>
        <w:t>。</w:t>
      </w:r>
    </w:p>
    <w:p>
      <w:pPr>
        <w:pStyle w:val="165"/>
        <w:rPr>
          <w:color w:val="auto"/>
        </w:rPr>
      </w:pPr>
      <w:r>
        <w:rPr>
          <w:rFonts w:hint="eastAsia"/>
          <w:color w:val="auto"/>
        </w:rPr>
        <w:t>在相应的生长时期，不同叶面肥可进行轮换或混配使用，混配施用的推荐用量减半。</w:t>
      </w:r>
    </w:p>
    <w:p>
      <w:pPr>
        <w:pStyle w:val="106"/>
        <w:spacing w:before="120" w:after="120"/>
        <w:rPr>
          <w:color w:val="auto"/>
        </w:rPr>
      </w:pPr>
      <w:r>
        <w:rPr>
          <w:rFonts w:hint="eastAsia"/>
          <w:color w:val="auto"/>
        </w:rPr>
        <w:t>其他肥料施用</w:t>
      </w:r>
    </w:p>
    <w:p>
      <w:pPr>
        <w:pStyle w:val="66"/>
        <w:spacing w:before="120" w:after="120"/>
        <w:ind w:left="0"/>
        <w:rPr>
          <w:color w:val="auto"/>
        </w:rPr>
      </w:pPr>
      <w:r>
        <w:rPr>
          <w:rFonts w:hint="eastAsia"/>
          <w:color w:val="auto"/>
        </w:rPr>
        <w:t>配药方法</w:t>
      </w:r>
    </w:p>
    <w:p>
      <w:pPr>
        <w:pStyle w:val="165"/>
        <w:rPr>
          <w:color w:val="auto"/>
        </w:rPr>
      </w:pPr>
      <w:r>
        <w:rPr>
          <w:rFonts w:hint="eastAsia"/>
          <w:color w:val="auto"/>
        </w:rPr>
        <w:t>复合肥（N</w:t>
      </w:r>
      <w:r>
        <w:rPr>
          <w:color w:val="auto"/>
        </w:rPr>
        <w:t>:</w:t>
      </w:r>
      <w:r>
        <w:rPr>
          <w:rFonts w:hint="eastAsia"/>
          <w:color w:val="auto"/>
        </w:rPr>
        <w:t>P</w:t>
      </w:r>
      <w:r>
        <w:rPr>
          <w:rFonts w:hint="eastAsia"/>
          <w:color w:val="auto"/>
          <w:vertAlign w:val="subscript"/>
        </w:rPr>
        <w:t>2</w:t>
      </w:r>
      <w:r>
        <w:rPr>
          <w:rFonts w:hint="eastAsia"/>
          <w:color w:val="auto"/>
        </w:rPr>
        <w:t>O</w:t>
      </w:r>
      <w:r>
        <w:rPr>
          <w:rFonts w:hint="eastAsia"/>
          <w:color w:val="auto"/>
          <w:vertAlign w:val="subscript"/>
        </w:rPr>
        <w:t>5</w:t>
      </w:r>
      <w:r>
        <w:rPr>
          <w:rFonts w:hint="eastAsia"/>
          <w:color w:val="auto"/>
        </w:rPr>
        <w:t>:K</w:t>
      </w:r>
      <w:r>
        <w:rPr>
          <w:rFonts w:hint="eastAsia"/>
          <w:color w:val="auto"/>
          <w:vertAlign w:val="subscript"/>
        </w:rPr>
        <w:t>2</w:t>
      </w:r>
      <w:r>
        <w:rPr>
          <w:rFonts w:hint="eastAsia"/>
          <w:color w:val="auto"/>
        </w:rPr>
        <w:t>O=15:15:15），总养分≥45</w:t>
      </w:r>
      <w:r>
        <w:rPr>
          <w:rFonts w:hint="eastAsia" w:hAnsi="宋体"/>
          <w:color w:val="auto"/>
        </w:rPr>
        <w:t>％。</w:t>
      </w:r>
    </w:p>
    <w:p>
      <w:pPr>
        <w:pStyle w:val="165"/>
        <w:rPr>
          <w:color w:val="auto"/>
        </w:rPr>
      </w:pPr>
      <w:r>
        <w:rPr>
          <w:rFonts w:hint="eastAsia"/>
          <w:color w:val="auto"/>
        </w:rPr>
        <w:t>过磷酸钙（有效P</w:t>
      </w:r>
      <w:r>
        <w:rPr>
          <w:rFonts w:hint="eastAsia"/>
          <w:color w:val="auto"/>
          <w:vertAlign w:val="subscript"/>
        </w:rPr>
        <w:t>2</w:t>
      </w:r>
      <w:r>
        <w:rPr>
          <w:rFonts w:hint="eastAsia"/>
          <w:color w:val="auto"/>
        </w:rPr>
        <w:t>O</w:t>
      </w:r>
      <w:r>
        <w:rPr>
          <w:rFonts w:hint="eastAsia"/>
          <w:color w:val="auto"/>
          <w:vertAlign w:val="subscript"/>
        </w:rPr>
        <w:t>5</w:t>
      </w:r>
      <w:r>
        <w:rPr>
          <w:rFonts w:hint="eastAsia"/>
          <w:color w:val="auto"/>
        </w:rPr>
        <w:t>≥16.0</w:t>
      </w:r>
      <w:r>
        <w:rPr>
          <w:rFonts w:hint="eastAsia" w:hAnsi="宋体"/>
          <w:color w:val="auto"/>
        </w:rPr>
        <w:t>％</w:t>
      </w:r>
      <w:r>
        <w:rPr>
          <w:rFonts w:hint="eastAsia"/>
          <w:color w:val="auto"/>
        </w:rPr>
        <w:t>）</w:t>
      </w:r>
      <w:r>
        <w:rPr>
          <w:rFonts w:hint="eastAsia" w:hAnsi="宋体"/>
          <w:color w:val="auto"/>
        </w:rPr>
        <w:t>。</w:t>
      </w:r>
    </w:p>
    <w:p>
      <w:pPr>
        <w:pStyle w:val="165"/>
        <w:rPr>
          <w:color w:val="auto"/>
        </w:rPr>
      </w:pPr>
      <w:r>
        <w:rPr>
          <w:rFonts w:hint="eastAsia"/>
          <w:color w:val="auto"/>
        </w:rPr>
        <w:t>大量元素水溶肥（N</w:t>
      </w:r>
      <w:r>
        <w:rPr>
          <w:rFonts w:hint="eastAsia" w:hAnsi="宋体"/>
          <w:color w:val="auto"/>
        </w:rPr>
        <w:t>＋</w:t>
      </w:r>
      <w:r>
        <w:rPr>
          <w:rFonts w:hint="eastAsia"/>
          <w:color w:val="auto"/>
        </w:rPr>
        <w:t>P</w:t>
      </w:r>
      <w:r>
        <w:rPr>
          <w:rFonts w:hint="eastAsia"/>
          <w:color w:val="auto"/>
          <w:vertAlign w:val="subscript"/>
        </w:rPr>
        <w:t>2</w:t>
      </w:r>
      <w:r>
        <w:rPr>
          <w:rFonts w:hint="eastAsia"/>
          <w:color w:val="auto"/>
        </w:rPr>
        <w:t>O</w:t>
      </w:r>
      <w:r>
        <w:rPr>
          <w:rFonts w:hint="eastAsia"/>
          <w:color w:val="auto"/>
          <w:vertAlign w:val="subscript"/>
        </w:rPr>
        <w:t>5</w:t>
      </w:r>
      <w:r>
        <w:rPr>
          <w:rFonts w:hint="eastAsia" w:hAnsi="宋体"/>
          <w:color w:val="auto"/>
        </w:rPr>
        <w:t>＋</w:t>
      </w:r>
      <w:r>
        <w:rPr>
          <w:rFonts w:hint="eastAsia"/>
          <w:color w:val="auto"/>
        </w:rPr>
        <w:t>K</w:t>
      </w:r>
      <w:r>
        <w:rPr>
          <w:rFonts w:hint="eastAsia"/>
          <w:color w:val="auto"/>
          <w:vertAlign w:val="subscript"/>
        </w:rPr>
        <w:t>2</w:t>
      </w:r>
      <w:r>
        <w:rPr>
          <w:rFonts w:hint="eastAsia"/>
          <w:color w:val="auto"/>
        </w:rPr>
        <w:t>O≥500g/L，Zn</w:t>
      </w:r>
      <w:r>
        <w:rPr>
          <w:rFonts w:hint="eastAsia" w:hAnsi="宋体"/>
          <w:color w:val="auto"/>
        </w:rPr>
        <w:t>＋</w:t>
      </w:r>
      <w:r>
        <w:rPr>
          <w:rFonts w:hint="eastAsia"/>
          <w:color w:val="auto"/>
        </w:rPr>
        <w:t>B:2g/L</w:t>
      </w:r>
      <w:r>
        <w:rPr>
          <w:rFonts w:hint="eastAsia" w:hAnsi="宋体"/>
          <w:color w:val="auto"/>
        </w:rPr>
        <w:t>～</w:t>
      </w:r>
      <w:r>
        <w:rPr>
          <w:rFonts w:hint="eastAsia"/>
          <w:color w:val="auto"/>
        </w:rPr>
        <w:t>30g/L），水剂。</w:t>
      </w:r>
    </w:p>
    <w:p>
      <w:pPr>
        <w:pStyle w:val="165"/>
        <w:rPr>
          <w:color w:val="auto"/>
        </w:rPr>
      </w:pPr>
      <w:r>
        <w:rPr>
          <w:rFonts w:hint="eastAsia"/>
          <w:color w:val="auto"/>
        </w:rPr>
        <w:t>大量元素水溶肥（N</w:t>
      </w:r>
      <w:r>
        <w:rPr>
          <w:rFonts w:hint="eastAsia" w:hAnsi="宋体"/>
          <w:color w:val="auto"/>
        </w:rPr>
        <w:t>＋</w:t>
      </w:r>
      <w:r>
        <w:rPr>
          <w:rFonts w:hint="eastAsia"/>
          <w:color w:val="auto"/>
        </w:rPr>
        <w:t>P</w:t>
      </w:r>
      <w:r>
        <w:rPr>
          <w:rFonts w:hint="eastAsia"/>
          <w:color w:val="auto"/>
          <w:vertAlign w:val="subscript"/>
        </w:rPr>
        <w:t>2</w:t>
      </w:r>
      <w:r>
        <w:rPr>
          <w:rFonts w:hint="eastAsia"/>
          <w:color w:val="auto"/>
        </w:rPr>
        <w:t>O</w:t>
      </w:r>
      <w:r>
        <w:rPr>
          <w:rFonts w:hint="eastAsia"/>
          <w:color w:val="auto"/>
          <w:vertAlign w:val="subscript"/>
        </w:rPr>
        <w:t>5</w:t>
      </w:r>
      <w:r>
        <w:rPr>
          <w:rFonts w:hint="eastAsia" w:hAnsi="宋体"/>
          <w:color w:val="auto"/>
        </w:rPr>
        <w:t>＋</w:t>
      </w:r>
      <w:r>
        <w:rPr>
          <w:rFonts w:hint="eastAsia"/>
          <w:color w:val="auto"/>
        </w:rPr>
        <w:t>K</w:t>
      </w:r>
      <w:r>
        <w:rPr>
          <w:rFonts w:hint="eastAsia"/>
          <w:color w:val="auto"/>
          <w:vertAlign w:val="subscript"/>
        </w:rPr>
        <w:t>2</w:t>
      </w:r>
      <w:r>
        <w:rPr>
          <w:rFonts w:hint="eastAsia"/>
          <w:color w:val="auto"/>
        </w:rPr>
        <w:t>O≥50.0</w:t>
      </w:r>
      <w:r>
        <w:rPr>
          <w:rFonts w:hint="eastAsia" w:hAnsi="宋体"/>
          <w:color w:val="auto"/>
        </w:rPr>
        <w:t>％</w:t>
      </w:r>
      <w:r>
        <w:rPr>
          <w:rFonts w:hint="eastAsia"/>
          <w:color w:val="auto"/>
        </w:rPr>
        <w:t>；Ca</w:t>
      </w:r>
      <w:r>
        <w:rPr>
          <w:rFonts w:hint="eastAsia" w:hAnsi="宋体"/>
          <w:color w:val="auto"/>
        </w:rPr>
        <w:t>＋</w:t>
      </w:r>
      <w:r>
        <w:rPr>
          <w:rFonts w:hint="eastAsia"/>
          <w:color w:val="auto"/>
        </w:rPr>
        <w:t>Mg≥1.0</w:t>
      </w:r>
      <w:r>
        <w:rPr>
          <w:rFonts w:hint="eastAsia" w:hAnsi="宋体"/>
          <w:color w:val="auto"/>
        </w:rPr>
        <w:t>％</w:t>
      </w:r>
      <w:r>
        <w:rPr>
          <w:rFonts w:hint="eastAsia"/>
          <w:color w:val="auto"/>
        </w:rPr>
        <w:t>），粉剂。</w:t>
      </w:r>
    </w:p>
    <w:p>
      <w:pPr>
        <w:pStyle w:val="165"/>
        <w:rPr>
          <w:color w:val="auto"/>
        </w:rPr>
      </w:pPr>
      <w:r>
        <w:rPr>
          <w:rFonts w:hint="eastAsia"/>
          <w:color w:val="auto"/>
        </w:rPr>
        <w:t>腐熟有机肥可从腐熟的羊粪、猪粪、鸡粪中选取，有机质含量9</w:t>
      </w:r>
      <w:r>
        <w:rPr>
          <w:rFonts w:hint="eastAsia" w:hAnsi="宋体"/>
          <w:color w:val="auto"/>
        </w:rPr>
        <w:t>％</w:t>
      </w:r>
      <w:r>
        <w:rPr>
          <w:rFonts w:hint="eastAsia"/>
          <w:color w:val="auto"/>
        </w:rPr>
        <w:t>以上。</w:t>
      </w:r>
    </w:p>
    <w:p>
      <w:pPr>
        <w:pStyle w:val="66"/>
        <w:spacing w:before="120" w:after="120"/>
        <w:ind w:left="0"/>
        <w:rPr>
          <w:color w:val="auto"/>
        </w:rPr>
      </w:pPr>
      <w:r>
        <w:rPr>
          <w:rFonts w:hint="eastAsia"/>
          <w:color w:val="auto"/>
        </w:rPr>
        <w:t>施用方法</w:t>
      </w:r>
    </w:p>
    <w:p>
      <w:pPr>
        <w:pStyle w:val="57"/>
        <w:ind w:firstLine="420"/>
        <w:rPr>
          <w:color w:val="auto"/>
        </w:rPr>
      </w:pPr>
      <w:r>
        <w:rPr>
          <w:rFonts w:hint="eastAsia"/>
          <w:color w:val="auto"/>
        </w:rPr>
        <w:t>豇豆的其他肥料施用应符合表</w:t>
      </w:r>
      <w:r>
        <w:rPr>
          <w:color w:val="auto"/>
        </w:rPr>
        <w:t>1</w:t>
      </w:r>
      <w:r>
        <w:rPr>
          <w:rFonts w:hint="eastAsia"/>
          <w:color w:val="auto"/>
        </w:rPr>
        <w:t>的规定。</w:t>
      </w:r>
    </w:p>
    <w:p>
      <w:pPr>
        <w:pStyle w:val="113"/>
        <w:spacing w:before="120" w:after="120"/>
        <w:rPr>
          <w:color w:val="auto"/>
        </w:rPr>
      </w:pPr>
      <w:r>
        <w:rPr>
          <w:rFonts w:hint="eastAsia"/>
          <w:color w:val="auto"/>
        </w:rPr>
        <w:t>豇豆肥料施用方案</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86"/>
        <w:gridCol w:w="1701"/>
        <w:gridCol w:w="3402"/>
        <w:gridCol w:w="1701"/>
        <w:gridCol w:w="12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86" w:type="dxa"/>
            <w:tcBorders>
              <w:top w:val="single" w:color="auto" w:sz="8" w:space="0"/>
              <w:bottom w:val="single" w:color="auto" w:sz="8" w:space="0"/>
            </w:tcBorders>
            <w:shd w:val="clear" w:color="auto" w:fill="auto"/>
            <w:vAlign w:val="center"/>
          </w:tcPr>
          <w:p>
            <w:pPr>
              <w:pStyle w:val="179"/>
              <w:spacing w:line="300" w:lineRule="exact"/>
              <w:rPr>
                <w:color w:val="auto"/>
              </w:rPr>
            </w:pPr>
            <w:r>
              <w:rPr>
                <w:rFonts w:hint="eastAsia"/>
                <w:color w:val="auto"/>
              </w:rPr>
              <w:t>施肥次序</w:t>
            </w:r>
          </w:p>
        </w:tc>
        <w:tc>
          <w:tcPr>
            <w:tcW w:w="1701" w:type="dxa"/>
            <w:tcBorders>
              <w:top w:val="single" w:color="auto" w:sz="8" w:space="0"/>
              <w:bottom w:val="single" w:color="auto" w:sz="8" w:space="0"/>
            </w:tcBorders>
            <w:shd w:val="clear" w:color="auto" w:fill="auto"/>
            <w:vAlign w:val="center"/>
          </w:tcPr>
          <w:p>
            <w:pPr>
              <w:pStyle w:val="179"/>
              <w:spacing w:line="300" w:lineRule="exact"/>
              <w:rPr>
                <w:color w:val="auto"/>
              </w:rPr>
            </w:pPr>
            <w:r>
              <w:rPr>
                <w:rFonts w:hint="eastAsia"/>
                <w:color w:val="auto"/>
              </w:rPr>
              <w:t>施肥时期</w:t>
            </w:r>
          </w:p>
        </w:tc>
        <w:tc>
          <w:tcPr>
            <w:tcW w:w="3402" w:type="dxa"/>
            <w:tcBorders>
              <w:top w:val="single" w:color="auto" w:sz="8" w:space="0"/>
              <w:bottom w:val="single" w:color="auto" w:sz="8" w:space="0"/>
            </w:tcBorders>
            <w:shd w:val="clear" w:color="auto" w:fill="auto"/>
            <w:vAlign w:val="center"/>
          </w:tcPr>
          <w:p>
            <w:pPr>
              <w:pStyle w:val="179"/>
              <w:spacing w:line="300" w:lineRule="exact"/>
              <w:rPr>
                <w:color w:val="auto"/>
              </w:rPr>
            </w:pPr>
            <w:r>
              <w:rPr>
                <w:rFonts w:hint="eastAsia"/>
                <w:color w:val="auto"/>
              </w:rPr>
              <w:t>肥料种类</w:t>
            </w:r>
          </w:p>
        </w:tc>
        <w:tc>
          <w:tcPr>
            <w:tcW w:w="1701" w:type="dxa"/>
            <w:tcBorders>
              <w:top w:val="single" w:color="auto" w:sz="8" w:space="0"/>
              <w:bottom w:val="single" w:color="auto" w:sz="8" w:space="0"/>
            </w:tcBorders>
            <w:shd w:val="clear" w:color="auto" w:fill="auto"/>
            <w:vAlign w:val="center"/>
          </w:tcPr>
          <w:p>
            <w:pPr>
              <w:pStyle w:val="179"/>
              <w:spacing w:line="300" w:lineRule="exact"/>
              <w:rPr>
                <w:color w:val="auto"/>
              </w:rPr>
            </w:pPr>
            <w:r>
              <w:rPr>
                <w:rFonts w:hint="eastAsia"/>
                <w:color w:val="auto"/>
              </w:rPr>
              <w:t>用量（kg/667m</w:t>
            </w:r>
            <w:r>
              <w:rPr>
                <w:rFonts w:hint="eastAsia"/>
                <w:color w:val="auto"/>
                <w:vertAlign w:val="superscript"/>
              </w:rPr>
              <w:t>2</w:t>
            </w:r>
            <w:r>
              <w:rPr>
                <w:rFonts w:hint="eastAsia"/>
                <w:color w:val="auto"/>
              </w:rPr>
              <w:t>）</w:t>
            </w:r>
          </w:p>
        </w:tc>
        <w:tc>
          <w:tcPr>
            <w:tcW w:w="1284" w:type="dxa"/>
            <w:tcBorders>
              <w:top w:val="single" w:color="auto" w:sz="8" w:space="0"/>
              <w:bottom w:val="single" w:color="auto" w:sz="8" w:space="0"/>
            </w:tcBorders>
            <w:shd w:val="clear" w:color="auto" w:fill="auto"/>
            <w:vAlign w:val="center"/>
          </w:tcPr>
          <w:p>
            <w:pPr>
              <w:pStyle w:val="179"/>
              <w:spacing w:line="300" w:lineRule="exact"/>
              <w:rPr>
                <w:color w:val="auto"/>
              </w:rPr>
            </w:pPr>
            <w:r>
              <w:rPr>
                <w:rFonts w:hint="eastAsia"/>
                <w:color w:val="auto"/>
              </w:rPr>
              <w:t>施用方式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6" w:type="dxa"/>
            <w:tcBorders>
              <w:top w:val="single" w:color="auto" w:sz="8" w:space="0"/>
            </w:tcBorders>
            <w:shd w:val="clear" w:color="auto" w:fill="auto"/>
            <w:vAlign w:val="center"/>
          </w:tcPr>
          <w:p>
            <w:pPr>
              <w:pStyle w:val="179"/>
              <w:spacing w:line="300" w:lineRule="exact"/>
              <w:rPr>
                <w:color w:val="auto"/>
              </w:rPr>
            </w:pPr>
            <w:r>
              <w:rPr>
                <w:color w:val="auto"/>
              </w:rPr>
              <w:t>基肥</w:t>
            </w:r>
          </w:p>
        </w:tc>
        <w:tc>
          <w:tcPr>
            <w:tcW w:w="1701" w:type="dxa"/>
            <w:tcBorders>
              <w:top w:val="single" w:color="auto" w:sz="8" w:space="0"/>
            </w:tcBorders>
            <w:shd w:val="clear" w:color="auto" w:fill="auto"/>
            <w:vAlign w:val="center"/>
          </w:tcPr>
          <w:p>
            <w:pPr>
              <w:pStyle w:val="179"/>
              <w:spacing w:line="300" w:lineRule="exact"/>
              <w:rPr>
                <w:color w:val="auto"/>
              </w:rPr>
            </w:pPr>
            <w:r>
              <w:rPr>
                <w:rFonts w:hint="eastAsia"/>
                <w:color w:val="auto"/>
              </w:rPr>
              <w:t>—</w:t>
            </w:r>
          </w:p>
        </w:tc>
        <w:tc>
          <w:tcPr>
            <w:tcW w:w="3402" w:type="dxa"/>
            <w:tcBorders>
              <w:top w:val="single" w:color="auto" w:sz="8" w:space="0"/>
            </w:tcBorders>
            <w:shd w:val="clear" w:color="auto" w:fill="auto"/>
            <w:vAlign w:val="center"/>
          </w:tcPr>
          <w:p>
            <w:pPr>
              <w:pStyle w:val="179"/>
              <w:spacing w:line="300" w:lineRule="exact"/>
              <w:rPr>
                <w:color w:val="auto"/>
              </w:rPr>
            </w:pPr>
            <w:r>
              <w:rPr>
                <w:rFonts w:hint="eastAsia" w:hAnsi="宋体"/>
                <w:color w:val="auto"/>
                <w:szCs w:val="21"/>
              </w:rPr>
              <w:t>复合肥（N:P</w:t>
            </w:r>
            <w:r>
              <w:rPr>
                <w:rFonts w:hint="eastAsia" w:hAnsi="宋体"/>
                <w:color w:val="auto"/>
                <w:szCs w:val="21"/>
                <w:vertAlign w:val="subscript"/>
              </w:rPr>
              <w:t>2</w:t>
            </w:r>
            <w:r>
              <w:rPr>
                <w:rFonts w:hint="eastAsia" w:hAnsi="宋体"/>
                <w:color w:val="auto"/>
                <w:szCs w:val="21"/>
              </w:rPr>
              <w:t>O</w:t>
            </w:r>
            <w:r>
              <w:rPr>
                <w:rFonts w:hint="eastAsia" w:hAnsi="宋体"/>
                <w:color w:val="auto"/>
                <w:szCs w:val="21"/>
                <w:vertAlign w:val="subscript"/>
              </w:rPr>
              <w:t>5</w:t>
            </w:r>
            <w:r>
              <w:rPr>
                <w:rFonts w:hint="eastAsia" w:hAnsi="宋体"/>
                <w:color w:val="auto"/>
                <w:szCs w:val="21"/>
              </w:rPr>
              <w:t>:K</w:t>
            </w:r>
            <w:r>
              <w:rPr>
                <w:rFonts w:hint="eastAsia" w:hAnsi="宋体"/>
                <w:color w:val="auto"/>
                <w:szCs w:val="21"/>
                <w:vertAlign w:val="subscript"/>
              </w:rPr>
              <w:t>2</w:t>
            </w:r>
            <w:r>
              <w:rPr>
                <w:rFonts w:hint="eastAsia" w:hAnsi="宋体"/>
                <w:color w:val="auto"/>
                <w:szCs w:val="21"/>
              </w:rPr>
              <w:t>O=15:15:15）</w:t>
            </w:r>
          </w:p>
        </w:tc>
        <w:tc>
          <w:tcPr>
            <w:tcW w:w="1701" w:type="dxa"/>
            <w:tcBorders>
              <w:top w:val="single" w:color="auto" w:sz="8" w:space="0"/>
            </w:tcBorders>
            <w:shd w:val="clear" w:color="auto" w:fill="auto"/>
            <w:vAlign w:val="center"/>
          </w:tcPr>
          <w:p>
            <w:pPr>
              <w:pStyle w:val="179"/>
              <w:spacing w:line="300" w:lineRule="exact"/>
              <w:rPr>
                <w:color w:val="auto"/>
              </w:rPr>
            </w:pPr>
            <w:r>
              <w:rPr>
                <w:rFonts w:hint="eastAsia"/>
                <w:color w:val="auto"/>
                <w:szCs w:val="21"/>
              </w:rPr>
              <w:t>50.0</w:t>
            </w:r>
          </w:p>
        </w:tc>
        <w:tc>
          <w:tcPr>
            <w:tcW w:w="1284" w:type="dxa"/>
            <w:tcBorders>
              <w:top w:val="single" w:color="auto" w:sz="8" w:space="0"/>
            </w:tcBorders>
            <w:shd w:val="clear" w:color="auto" w:fill="auto"/>
            <w:vAlign w:val="center"/>
          </w:tcPr>
          <w:p>
            <w:pPr>
              <w:pStyle w:val="179"/>
              <w:spacing w:line="300" w:lineRule="exact"/>
              <w:rPr>
                <w:color w:val="auto"/>
              </w:rPr>
            </w:pPr>
            <w:r>
              <w:rPr>
                <w:rFonts w:hint="eastAsia"/>
                <w:color w:val="auto"/>
                <w:szCs w:val="21"/>
              </w:rPr>
              <w:t>撒施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6" w:type="dxa"/>
            <w:shd w:val="clear" w:color="auto" w:fill="auto"/>
            <w:vAlign w:val="center"/>
          </w:tcPr>
          <w:p>
            <w:pPr>
              <w:pStyle w:val="179"/>
              <w:spacing w:line="300" w:lineRule="exact"/>
              <w:rPr>
                <w:color w:val="auto"/>
              </w:rPr>
            </w:pPr>
            <w:r>
              <w:rPr>
                <w:color w:val="auto"/>
              </w:rPr>
              <w:t>基肥</w:t>
            </w:r>
          </w:p>
        </w:tc>
        <w:tc>
          <w:tcPr>
            <w:tcW w:w="1701" w:type="dxa"/>
            <w:shd w:val="clear" w:color="auto" w:fill="auto"/>
            <w:vAlign w:val="center"/>
          </w:tcPr>
          <w:p>
            <w:pPr>
              <w:pStyle w:val="179"/>
              <w:spacing w:line="300" w:lineRule="exact"/>
              <w:rPr>
                <w:color w:val="auto"/>
              </w:rPr>
            </w:pPr>
            <w:r>
              <w:rPr>
                <w:rFonts w:hint="eastAsia"/>
                <w:color w:val="auto"/>
              </w:rPr>
              <w:t>—</w:t>
            </w:r>
          </w:p>
        </w:tc>
        <w:tc>
          <w:tcPr>
            <w:tcW w:w="3402" w:type="dxa"/>
            <w:shd w:val="clear" w:color="auto" w:fill="auto"/>
            <w:vAlign w:val="center"/>
          </w:tcPr>
          <w:p>
            <w:pPr>
              <w:pStyle w:val="179"/>
              <w:spacing w:line="300" w:lineRule="exact"/>
              <w:rPr>
                <w:color w:val="auto"/>
              </w:rPr>
            </w:pPr>
            <w:r>
              <w:rPr>
                <w:rFonts w:hint="eastAsia" w:hAnsi="宋体"/>
                <w:color w:val="auto"/>
                <w:szCs w:val="21"/>
              </w:rPr>
              <w:t>腐熟有机肥</w:t>
            </w:r>
          </w:p>
        </w:tc>
        <w:tc>
          <w:tcPr>
            <w:tcW w:w="1701" w:type="dxa"/>
            <w:shd w:val="clear" w:color="auto" w:fill="auto"/>
            <w:vAlign w:val="center"/>
          </w:tcPr>
          <w:p>
            <w:pPr>
              <w:pStyle w:val="179"/>
              <w:spacing w:line="300" w:lineRule="exact"/>
              <w:rPr>
                <w:color w:val="auto"/>
              </w:rPr>
            </w:pPr>
            <w:r>
              <w:rPr>
                <w:rFonts w:hint="eastAsia"/>
                <w:color w:val="auto"/>
                <w:szCs w:val="21"/>
              </w:rPr>
              <w:t>500.0</w:t>
            </w:r>
          </w:p>
        </w:tc>
        <w:tc>
          <w:tcPr>
            <w:tcW w:w="1284" w:type="dxa"/>
            <w:shd w:val="clear" w:color="auto" w:fill="auto"/>
            <w:vAlign w:val="center"/>
          </w:tcPr>
          <w:p>
            <w:pPr>
              <w:pStyle w:val="179"/>
              <w:spacing w:line="300" w:lineRule="exact"/>
              <w:rPr>
                <w:color w:val="auto"/>
              </w:rPr>
            </w:pPr>
            <w:r>
              <w:rPr>
                <w:rFonts w:hint="eastAsia"/>
                <w:color w:val="auto"/>
                <w:szCs w:val="21"/>
              </w:rPr>
              <w:t>撒施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6" w:type="dxa"/>
            <w:shd w:val="clear" w:color="auto" w:fill="auto"/>
            <w:vAlign w:val="center"/>
          </w:tcPr>
          <w:p>
            <w:pPr>
              <w:pStyle w:val="179"/>
              <w:spacing w:line="300" w:lineRule="exact"/>
              <w:rPr>
                <w:color w:val="auto"/>
              </w:rPr>
            </w:pPr>
            <w:r>
              <w:rPr>
                <w:color w:val="auto"/>
              </w:rPr>
              <w:t>基肥</w:t>
            </w:r>
          </w:p>
        </w:tc>
        <w:tc>
          <w:tcPr>
            <w:tcW w:w="1701" w:type="dxa"/>
            <w:shd w:val="clear" w:color="auto" w:fill="auto"/>
            <w:vAlign w:val="center"/>
          </w:tcPr>
          <w:p>
            <w:pPr>
              <w:pStyle w:val="179"/>
              <w:spacing w:line="300" w:lineRule="exact"/>
              <w:rPr>
                <w:color w:val="auto"/>
              </w:rPr>
            </w:pPr>
            <w:r>
              <w:rPr>
                <w:rFonts w:hint="eastAsia"/>
                <w:color w:val="auto"/>
              </w:rPr>
              <w:t>—</w:t>
            </w:r>
          </w:p>
        </w:tc>
        <w:tc>
          <w:tcPr>
            <w:tcW w:w="3402" w:type="dxa"/>
            <w:shd w:val="clear" w:color="auto" w:fill="auto"/>
            <w:vAlign w:val="center"/>
          </w:tcPr>
          <w:p>
            <w:pPr>
              <w:pStyle w:val="179"/>
              <w:spacing w:line="300" w:lineRule="exact"/>
              <w:rPr>
                <w:color w:val="auto"/>
              </w:rPr>
            </w:pPr>
            <w:r>
              <w:rPr>
                <w:rFonts w:hint="eastAsia" w:hAnsi="宋体"/>
                <w:color w:val="auto"/>
                <w:szCs w:val="21"/>
              </w:rPr>
              <w:t>过磷酸钙</w:t>
            </w:r>
          </w:p>
        </w:tc>
        <w:tc>
          <w:tcPr>
            <w:tcW w:w="1701" w:type="dxa"/>
            <w:shd w:val="clear" w:color="auto" w:fill="auto"/>
            <w:vAlign w:val="center"/>
          </w:tcPr>
          <w:p>
            <w:pPr>
              <w:pStyle w:val="179"/>
              <w:spacing w:line="300" w:lineRule="exact"/>
              <w:rPr>
                <w:color w:val="auto"/>
              </w:rPr>
            </w:pPr>
            <w:r>
              <w:rPr>
                <w:rFonts w:hint="eastAsia"/>
                <w:color w:val="auto"/>
                <w:szCs w:val="21"/>
              </w:rPr>
              <w:t>30.0</w:t>
            </w:r>
          </w:p>
        </w:tc>
        <w:tc>
          <w:tcPr>
            <w:tcW w:w="1284" w:type="dxa"/>
            <w:shd w:val="clear" w:color="auto" w:fill="auto"/>
            <w:vAlign w:val="center"/>
          </w:tcPr>
          <w:p>
            <w:pPr>
              <w:pStyle w:val="179"/>
              <w:spacing w:line="300" w:lineRule="exact"/>
              <w:rPr>
                <w:color w:val="auto"/>
              </w:rPr>
            </w:pPr>
            <w:r>
              <w:rPr>
                <w:rFonts w:hint="eastAsia"/>
                <w:color w:val="auto"/>
                <w:szCs w:val="21"/>
              </w:rPr>
              <w:t>撒施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6" w:type="dxa"/>
            <w:shd w:val="clear" w:color="auto" w:fill="auto"/>
            <w:vAlign w:val="center"/>
          </w:tcPr>
          <w:p>
            <w:pPr>
              <w:pStyle w:val="179"/>
              <w:spacing w:line="300" w:lineRule="exact"/>
              <w:rPr>
                <w:color w:val="auto"/>
              </w:rPr>
            </w:pPr>
            <w:r>
              <w:rPr>
                <w:rFonts w:hint="eastAsia"/>
                <w:color w:val="auto"/>
              </w:rPr>
              <w:t>第一次</w:t>
            </w:r>
          </w:p>
        </w:tc>
        <w:tc>
          <w:tcPr>
            <w:tcW w:w="1701" w:type="dxa"/>
            <w:shd w:val="clear" w:color="auto" w:fill="auto"/>
            <w:vAlign w:val="center"/>
          </w:tcPr>
          <w:p>
            <w:pPr>
              <w:pStyle w:val="179"/>
              <w:spacing w:line="300" w:lineRule="exact"/>
              <w:rPr>
                <w:color w:val="auto"/>
              </w:rPr>
            </w:pPr>
            <w:r>
              <w:rPr>
                <w:rFonts w:hint="eastAsia"/>
                <w:color w:val="auto"/>
              </w:rPr>
              <w:t>抽蔓期</w:t>
            </w:r>
          </w:p>
        </w:tc>
        <w:tc>
          <w:tcPr>
            <w:tcW w:w="3402" w:type="dxa"/>
            <w:shd w:val="clear" w:color="auto" w:fill="auto"/>
            <w:vAlign w:val="center"/>
          </w:tcPr>
          <w:p>
            <w:pPr>
              <w:pStyle w:val="179"/>
              <w:spacing w:line="300" w:lineRule="exact"/>
              <w:rPr>
                <w:color w:val="auto"/>
              </w:rPr>
            </w:pPr>
            <w:r>
              <w:rPr>
                <w:rFonts w:hint="eastAsia" w:hAnsi="宋体"/>
                <w:color w:val="auto"/>
                <w:szCs w:val="21"/>
              </w:rPr>
              <w:t>大量元素水溶肥（水剂）</w:t>
            </w:r>
          </w:p>
        </w:tc>
        <w:tc>
          <w:tcPr>
            <w:tcW w:w="1701" w:type="dxa"/>
            <w:shd w:val="clear" w:color="auto" w:fill="auto"/>
            <w:vAlign w:val="center"/>
          </w:tcPr>
          <w:p>
            <w:pPr>
              <w:pStyle w:val="179"/>
              <w:spacing w:line="300" w:lineRule="exact"/>
              <w:rPr>
                <w:color w:val="auto"/>
              </w:rPr>
            </w:pPr>
            <w:r>
              <w:rPr>
                <w:rFonts w:hint="eastAsia"/>
                <w:color w:val="auto"/>
                <w:szCs w:val="21"/>
              </w:rPr>
              <w:t>5.0</w:t>
            </w:r>
          </w:p>
        </w:tc>
        <w:tc>
          <w:tcPr>
            <w:tcW w:w="1284" w:type="dxa"/>
            <w:shd w:val="clear" w:color="auto" w:fill="auto"/>
            <w:vAlign w:val="center"/>
          </w:tcPr>
          <w:p>
            <w:pPr>
              <w:pStyle w:val="179"/>
              <w:spacing w:line="300" w:lineRule="exact"/>
              <w:rPr>
                <w:color w:val="auto"/>
              </w:rPr>
            </w:pPr>
            <w:r>
              <w:rPr>
                <w:rFonts w:hint="eastAsia"/>
                <w:color w:val="auto"/>
                <w:szCs w:val="21"/>
              </w:rPr>
              <w:t>滴灌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6" w:type="dxa"/>
            <w:shd w:val="clear" w:color="auto" w:fill="auto"/>
            <w:vAlign w:val="center"/>
          </w:tcPr>
          <w:p>
            <w:pPr>
              <w:pStyle w:val="179"/>
              <w:spacing w:line="300" w:lineRule="exact"/>
              <w:rPr>
                <w:color w:val="auto"/>
              </w:rPr>
            </w:pPr>
            <w:r>
              <w:rPr>
                <w:rFonts w:hint="eastAsia"/>
                <w:color w:val="auto"/>
              </w:rPr>
              <w:t>第二次</w:t>
            </w:r>
          </w:p>
        </w:tc>
        <w:tc>
          <w:tcPr>
            <w:tcW w:w="1701" w:type="dxa"/>
            <w:shd w:val="clear" w:color="auto" w:fill="auto"/>
            <w:vAlign w:val="center"/>
          </w:tcPr>
          <w:p>
            <w:pPr>
              <w:pStyle w:val="179"/>
              <w:spacing w:line="300" w:lineRule="exact"/>
              <w:rPr>
                <w:color w:val="auto"/>
              </w:rPr>
            </w:pPr>
            <w:r>
              <w:rPr>
                <w:rFonts w:hint="eastAsia"/>
                <w:color w:val="auto"/>
              </w:rPr>
              <w:t>开花初期</w:t>
            </w:r>
          </w:p>
        </w:tc>
        <w:tc>
          <w:tcPr>
            <w:tcW w:w="3402" w:type="dxa"/>
            <w:shd w:val="clear" w:color="auto" w:fill="auto"/>
            <w:vAlign w:val="center"/>
          </w:tcPr>
          <w:p>
            <w:pPr>
              <w:pStyle w:val="179"/>
              <w:spacing w:line="300" w:lineRule="exact"/>
              <w:rPr>
                <w:color w:val="auto"/>
              </w:rPr>
            </w:pPr>
            <w:r>
              <w:rPr>
                <w:rFonts w:hint="eastAsia" w:hAnsi="宋体"/>
                <w:color w:val="auto"/>
                <w:szCs w:val="21"/>
              </w:rPr>
              <w:t>复合肥（N: P</w:t>
            </w:r>
            <w:r>
              <w:rPr>
                <w:rFonts w:hint="eastAsia" w:hAnsi="宋体"/>
                <w:color w:val="auto"/>
                <w:szCs w:val="21"/>
                <w:vertAlign w:val="subscript"/>
              </w:rPr>
              <w:t>2</w:t>
            </w:r>
            <w:r>
              <w:rPr>
                <w:rFonts w:hint="eastAsia" w:hAnsi="宋体"/>
                <w:color w:val="auto"/>
                <w:szCs w:val="21"/>
              </w:rPr>
              <w:t>O</w:t>
            </w:r>
            <w:r>
              <w:rPr>
                <w:rFonts w:hint="eastAsia" w:hAnsi="宋体"/>
                <w:color w:val="auto"/>
                <w:szCs w:val="21"/>
                <w:vertAlign w:val="subscript"/>
              </w:rPr>
              <w:t>5</w:t>
            </w:r>
            <w:r>
              <w:rPr>
                <w:rFonts w:hint="eastAsia" w:hAnsi="宋体"/>
                <w:color w:val="auto"/>
                <w:szCs w:val="21"/>
              </w:rPr>
              <w:t>:K</w:t>
            </w:r>
            <w:r>
              <w:rPr>
                <w:rFonts w:hint="eastAsia" w:hAnsi="宋体"/>
                <w:color w:val="auto"/>
                <w:szCs w:val="21"/>
                <w:vertAlign w:val="subscript"/>
              </w:rPr>
              <w:t>2</w:t>
            </w:r>
            <w:r>
              <w:rPr>
                <w:rFonts w:hint="eastAsia" w:hAnsi="宋体"/>
                <w:color w:val="auto"/>
                <w:szCs w:val="21"/>
              </w:rPr>
              <w:t>O =15:15:15）</w:t>
            </w:r>
          </w:p>
        </w:tc>
        <w:tc>
          <w:tcPr>
            <w:tcW w:w="1701" w:type="dxa"/>
            <w:shd w:val="clear" w:color="auto" w:fill="auto"/>
            <w:vAlign w:val="center"/>
          </w:tcPr>
          <w:p>
            <w:pPr>
              <w:pStyle w:val="179"/>
              <w:spacing w:line="300" w:lineRule="exact"/>
              <w:rPr>
                <w:color w:val="auto"/>
              </w:rPr>
            </w:pPr>
            <w:r>
              <w:rPr>
                <w:rFonts w:hint="eastAsia"/>
                <w:color w:val="auto"/>
                <w:szCs w:val="21"/>
              </w:rPr>
              <w:t>10.0</w:t>
            </w:r>
          </w:p>
        </w:tc>
        <w:tc>
          <w:tcPr>
            <w:tcW w:w="1284" w:type="dxa"/>
            <w:shd w:val="clear" w:color="auto" w:fill="auto"/>
            <w:vAlign w:val="center"/>
          </w:tcPr>
          <w:p>
            <w:pPr>
              <w:pStyle w:val="179"/>
              <w:spacing w:line="300" w:lineRule="exact"/>
              <w:rPr>
                <w:color w:val="auto"/>
              </w:rPr>
            </w:pPr>
            <w:r>
              <w:rPr>
                <w:rFonts w:hint="eastAsia"/>
                <w:color w:val="auto"/>
                <w:szCs w:val="21"/>
              </w:rPr>
              <w:t>滴灌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6" w:type="dxa"/>
            <w:shd w:val="clear" w:color="auto" w:fill="auto"/>
            <w:vAlign w:val="center"/>
          </w:tcPr>
          <w:p>
            <w:pPr>
              <w:pStyle w:val="179"/>
              <w:spacing w:line="300" w:lineRule="exact"/>
              <w:rPr>
                <w:color w:val="auto"/>
              </w:rPr>
            </w:pPr>
            <w:r>
              <w:rPr>
                <w:rFonts w:hint="eastAsia"/>
                <w:color w:val="auto"/>
              </w:rPr>
              <w:t>第三次</w:t>
            </w:r>
          </w:p>
        </w:tc>
        <w:tc>
          <w:tcPr>
            <w:tcW w:w="1701" w:type="dxa"/>
            <w:shd w:val="clear" w:color="auto" w:fill="auto"/>
            <w:vAlign w:val="center"/>
          </w:tcPr>
          <w:p>
            <w:pPr>
              <w:pStyle w:val="179"/>
              <w:spacing w:line="300" w:lineRule="exact"/>
              <w:rPr>
                <w:color w:val="auto"/>
              </w:rPr>
            </w:pPr>
            <w:r>
              <w:rPr>
                <w:rFonts w:hint="eastAsia"/>
                <w:color w:val="auto"/>
              </w:rPr>
              <w:t>盛花期</w:t>
            </w:r>
          </w:p>
        </w:tc>
        <w:tc>
          <w:tcPr>
            <w:tcW w:w="3402" w:type="dxa"/>
            <w:shd w:val="clear" w:color="auto" w:fill="auto"/>
            <w:vAlign w:val="center"/>
          </w:tcPr>
          <w:p>
            <w:pPr>
              <w:pStyle w:val="179"/>
              <w:spacing w:line="300" w:lineRule="exact"/>
              <w:rPr>
                <w:color w:val="auto"/>
              </w:rPr>
            </w:pPr>
            <w:r>
              <w:rPr>
                <w:rFonts w:hint="eastAsia" w:hAnsi="宋体"/>
                <w:color w:val="auto"/>
                <w:szCs w:val="21"/>
              </w:rPr>
              <w:t>大量元素水溶肥（水剂）</w:t>
            </w:r>
          </w:p>
        </w:tc>
        <w:tc>
          <w:tcPr>
            <w:tcW w:w="1701" w:type="dxa"/>
            <w:shd w:val="clear" w:color="auto" w:fill="auto"/>
            <w:vAlign w:val="center"/>
          </w:tcPr>
          <w:p>
            <w:pPr>
              <w:pStyle w:val="179"/>
              <w:spacing w:line="300" w:lineRule="exact"/>
              <w:rPr>
                <w:color w:val="auto"/>
              </w:rPr>
            </w:pPr>
            <w:r>
              <w:rPr>
                <w:rFonts w:hint="eastAsia"/>
                <w:color w:val="auto"/>
                <w:szCs w:val="21"/>
              </w:rPr>
              <w:t>7.5</w:t>
            </w:r>
          </w:p>
        </w:tc>
        <w:tc>
          <w:tcPr>
            <w:tcW w:w="1284" w:type="dxa"/>
            <w:shd w:val="clear" w:color="auto" w:fill="auto"/>
            <w:vAlign w:val="center"/>
          </w:tcPr>
          <w:p>
            <w:pPr>
              <w:pStyle w:val="179"/>
              <w:spacing w:line="300" w:lineRule="exact"/>
              <w:rPr>
                <w:color w:val="auto"/>
              </w:rPr>
            </w:pPr>
            <w:r>
              <w:rPr>
                <w:rFonts w:hint="eastAsia"/>
                <w:color w:val="auto"/>
                <w:szCs w:val="21"/>
              </w:rPr>
              <w:t>滴灌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6" w:type="dxa"/>
            <w:shd w:val="clear" w:color="auto" w:fill="auto"/>
            <w:vAlign w:val="center"/>
          </w:tcPr>
          <w:p>
            <w:pPr>
              <w:pStyle w:val="179"/>
              <w:spacing w:line="300" w:lineRule="exact"/>
              <w:rPr>
                <w:color w:val="auto"/>
              </w:rPr>
            </w:pPr>
            <w:r>
              <w:rPr>
                <w:rFonts w:hint="eastAsia"/>
                <w:color w:val="auto"/>
              </w:rPr>
              <w:t>第四次</w:t>
            </w:r>
          </w:p>
        </w:tc>
        <w:tc>
          <w:tcPr>
            <w:tcW w:w="1701" w:type="dxa"/>
            <w:shd w:val="clear" w:color="auto" w:fill="auto"/>
            <w:vAlign w:val="center"/>
          </w:tcPr>
          <w:p>
            <w:pPr>
              <w:pStyle w:val="179"/>
              <w:spacing w:line="300" w:lineRule="exact"/>
              <w:rPr>
                <w:color w:val="auto"/>
              </w:rPr>
            </w:pPr>
            <w:r>
              <w:rPr>
                <w:rFonts w:hint="eastAsia"/>
                <w:color w:val="auto"/>
              </w:rPr>
              <w:t>结荚期</w:t>
            </w:r>
          </w:p>
        </w:tc>
        <w:tc>
          <w:tcPr>
            <w:tcW w:w="3402" w:type="dxa"/>
            <w:shd w:val="clear" w:color="auto" w:fill="auto"/>
            <w:vAlign w:val="center"/>
          </w:tcPr>
          <w:p>
            <w:pPr>
              <w:pStyle w:val="179"/>
              <w:spacing w:line="300" w:lineRule="exact"/>
              <w:rPr>
                <w:color w:val="auto"/>
              </w:rPr>
            </w:pPr>
            <w:r>
              <w:rPr>
                <w:rFonts w:hint="eastAsia" w:hAnsi="宋体"/>
                <w:color w:val="auto"/>
                <w:szCs w:val="21"/>
              </w:rPr>
              <w:t>复合肥（N: P</w:t>
            </w:r>
            <w:r>
              <w:rPr>
                <w:rFonts w:hint="eastAsia" w:hAnsi="宋体"/>
                <w:color w:val="auto"/>
                <w:szCs w:val="21"/>
                <w:vertAlign w:val="subscript"/>
              </w:rPr>
              <w:t>2</w:t>
            </w:r>
            <w:r>
              <w:rPr>
                <w:rFonts w:hint="eastAsia" w:hAnsi="宋体"/>
                <w:color w:val="auto"/>
                <w:szCs w:val="21"/>
              </w:rPr>
              <w:t>O</w:t>
            </w:r>
            <w:r>
              <w:rPr>
                <w:rFonts w:hint="eastAsia" w:hAnsi="宋体"/>
                <w:color w:val="auto"/>
                <w:szCs w:val="21"/>
                <w:vertAlign w:val="subscript"/>
              </w:rPr>
              <w:t>5</w:t>
            </w:r>
            <w:r>
              <w:rPr>
                <w:rFonts w:hint="eastAsia" w:hAnsi="宋体"/>
                <w:color w:val="auto"/>
                <w:szCs w:val="21"/>
              </w:rPr>
              <w:t>:K</w:t>
            </w:r>
            <w:r>
              <w:rPr>
                <w:rFonts w:hint="eastAsia" w:hAnsi="宋体"/>
                <w:color w:val="auto"/>
                <w:szCs w:val="21"/>
                <w:vertAlign w:val="subscript"/>
              </w:rPr>
              <w:t>2</w:t>
            </w:r>
            <w:r>
              <w:rPr>
                <w:rFonts w:hint="eastAsia" w:hAnsi="宋体"/>
                <w:color w:val="auto"/>
                <w:szCs w:val="21"/>
              </w:rPr>
              <w:t>O =15:15:15）</w:t>
            </w:r>
          </w:p>
        </w:tc>
        <w:tc>
          <w:tcPr>
            <w:tcW w:w="1701" w:type="dxa"/>
            <w:shd w:val="clear" w:color="auto" w:fill="auto"/>
            <w:vAlign w:val="center"/>
          </w:tcPr>
          <w:p>
            <w:pPr>
              <w:pStyle w:val="179"/>
              <w:spacing w:line="300" w:lineRule="exact"/>
              <w:rPr>
                <w:color w:val="auto"/>
              </w:rPr>
            </w:pPr>
            <w:r>
              <w:rPr>
                <w:rFonts w:hint="eastAsia"/>
                <w:color w:val="auto"/>
                <w:szCs w:val="21"/>
              </w:rPr>
              <w:t>15.0</w:t>
            </w:r>
          </w:p>
        </w:tc>
        <w:tc>
          <w:tcPr>
            <w:tcW w:w="1284" w:type="dxa"/>
            <w:shd w:val="clear" w:color="auto" w:fill="auto"/>
            <w:vAlign w:val="center"/>
          </w:tcPr>
          <w:p>
            <w:pPr>
              <w:pStyle w:val="179"/>
              <w:spacing w:line="300" w:lineRule="exact"/>
              <w:rPr>
                <w:color w:val="auto"/>
              </w:rPr>
            </w:pPr>
            <w:r>
              <w:rPr>
                <w:rFonts w:hint="eastAsia"/>
                <w:color w:val="auto"/>
                <w:szCs w:val="21"/>
              </w:rPr>
              <w:t>滴灌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6" w:type="dxa"/>
            <w:shd w:val="clear" w:color="auto" w:fill="auto"/>
            <w:vAlign w:val="center"/>
          </w:tcPr>
          <w:p>
            <w:pPr>
              <w:pStyle w:val="179"/>
              <w:spacing w:line="300" w:lineRule="exact"/>
              <w:rPr>
                <w:color w:val="auto"/>
              </w:rPr>
            </w:pPr>
            <w:r>
              <w:rPr>
                <w:rFonts w:hint="eastAsia"/>
                <w:color w:val="auto"/>
              </w:rPr>
              <w:t>第五次</w:t>
            </w:r>
          </w:p>
        </w:tc>
        <w:tc>
          <w:tcPr>
            <w:tcW w:w="1701" w:type="dxa"/>
            <w:shd w:val="clear" w:color="auto" w:fill="auto"/>
            <w:vAlign w:val="center"/>
          </w:tcPr>
          <w:p>
            <w:pPr>
              <w:pStyle w:val="179"/>
              <w:spacing w:line="300" w:lineRule="exact"/>
              <w:rPr>
                <w:color w:val="auto"/>
              </w:rPr>
            </w:pPr>
            <w:r>
              <w:rPr>
                <w:rFonts w:hint="eastAsia"/>
                <w:color w:val="auto"/>
              </w:rPr>
              <w:t>采摘初期</w:t>
            </w:r>
          </w:p>
        </w:tc>
        <w:tc>
          <w:tcPr>
            <w:tcW w:w="3402" w:type="dxa"/>
            <w:shd w:val="clear" w:color="auto" w:fill="auto"/>
            <w:vAlign w:val="center"/>
          </w:tcPr>
          <w:p>
            <w:pPr>
              <w:pStyle w:val="179"/>
              <w:spacing w:line="300" w:lineRule="exact"/>
              <w:rPr>
                <w:color w:val="auto"/>
              </w:rPr>
            </w:pPr>
            <w:r>
              <w:rPr>
                <w:rFonts w:hint="eastAsia" w:hAnsi="宋体"/>
                <w:color w:val="auto"/>
                <w:szCs w:val="21"/>
              </w:rPr>
              <w:t>大量元素水溶肥（粉剂）</w:t>
            </w:r>
          </w:p>
        </w:tc>
        <w:tc>
          <w:tcPr>
            <w:tcW w:w="1701" w:type="dxa"/>
            <w:shd w:val="clear" w:color="auto" w:fill="auto"/>
            <w:vAlign w:val="center"/>
          </w:tcPr>
          <w:p>
            <w:pPr>
              <w:pStyle w:val="179"/>
              <w:spacing w:line="300" w:lineRule="exact"/>
              <w:rPr>
                <w:color w:val="auto"/>
              </w:rPr>
            </w:pPr>
            <w:r>
              <w:rPr>
                <w:rFonts w:hint="eastAsia"/>
                <w:color w:val="auto"/>
                <w:szCs w:val="21"/>
              </w:rPr>
              <w:t>7.5</w:t>
            </w:r>
          </w:p>
        </w:tc>
        <w:tc>
          <w:tcPr>
            <w:tcW w:w="1284" w:type="dxa"/>
            <w:shd w:val="clear" w:color="auto" w:fill="auto"/>
            <w:vAlign w:val="center"/>
          </w:tcPr>
          <w:p>
            <w:pPr>
              <w:pStyle w:val="179"/>
              <w:spacing w:line="300" w:lineRule="exact"/>
              <w:rPr>
                <w:color w:val="auto"/>
              </w:rPr>
            </w:pPr>
            <w:r>
              <w:rPr>
                <w:rFonts w:hint="eastAsia"/>
                <w:color w:val="auto"/>
                <w:szCs w:val="21"/>
              </w:rPr>
              <w:t>滴灌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6" w:type="dxa"/>
            <w:shd w:val="clear" w:color="auto" w:fill="auto"/>
            <w:vAlign w:val="center"/>
          </w:tcPr>
          <w:p>
            <w:pPr>
              <w:pStyle w:val="179"/>
              <w:spacing w:line="300" w:lineRule="exact"/>
              <w:rPr>
                <w:color w:val="auto"/>
              </w:rPr>
            </w:pPr>
            <w:r>
              <w:rPr>
                <w:rFonts w:hint="eastAsia"/>
                <w:color w:val="auto"/>
              </w:rPr>
              <w:t>第六次</w:t>
            </w:r>
          </w:p>
        </w:tc>
        <w:tc>
          <w:tcPr>
            <w:tcW w:w="1701" w:type="dxa"/>
            <w:shd w:val="clear" w:color="auto" w:fill="auto"/>
            <w:vAlign w:val="center"/>
          </w:tcPr>
          <w:p>
            <w:pPr>
              <w:pStyle w:val="179"/>
              <w:spacing w:line="300" w:lineRule="exact"/>
              <w:rPr>
                <w:color w:val="auto"/>
              </w:rPr>
            </w:pPr>
            <w:r>
              <w:rPr>
                <w:rFonts w:hint="eastAsia"/>
                <w:color w:val="auto"/>
              </w:rPr>
              <w:t>采摘盛期</w:t>
            </w:r>
          </w:p>
        </w:tc>
        <w:tc>
          <w:tcPr>
            <w:tcW w:w="3402" w:type="dxa"/>
            <w:shd w:val="clear" w:color="auto" w:fill="auto"/>
            <w:vAlign w:val="center"/>
          </w:tcPr>
          <w:p>
            <w:pPr>
              <w:pStyle w:val="179"/>
              <w:spacing w:line="300" w:lineRule="exact"/>
              <w:rPr>
                <w:color w:val="auto"/>
              </w:rPr>
            </w:pPr>
            <w:r>
              <w:rPr>
                <w:rFonts w:hint="eastAsia" w:hAnsi="宋体"/>
                <w:color w:val="auto"/>
                <w:szCs w:val="21"/>
              </w:rPr>
              <w:t>大量元素水溶肥（粉剂）</w:t>
            </w:r>
          </w:p>
        </w:tc>
        <w:tc>
          <w:tcPr>
            <w:tcW w:w="1701" w:type="dxa"/>
            <w:shd w:val="clear" w:color="auto" w:fill="auto"/>
            <w:vAlign w:val="center"/>
          </w:tcPr>
          <w:p>
            <w:pPr>
              <w:pStyle w:val="179"/>
              <w:spacing w:line="300" w:lineRule="exact"/>
              <w:rPr>
                <w:color w:val="auto"/>
              </w:rPr>
            </w:pPr>
            <w:r>
              <w:rPr>
                <w:rFonts w:hint="eastAsia"/>
                <w:color w:val="auto"/>
                <w:szCs w:val="21"/>
              </w:rPr>
              <w:t>10.0</w:t>
            </w:r>
          </w:p>
        </w:tc>
        <w:tc>
          <w:tcPr>
            <w:tcW w:w="1284" w:type="dxa"/>
            <w:shd w:val="clear" w:color="auto" w:fill="auto"/>
            <w:vAlign w:val="center"/>
          </w:tcPr>
          <w:p>
            <w:pPr>
              <w:pStyle w:val="179"/>
              <w:spacing w:line="300" w:lineRule="exact"/>
              <w:rPr>
                <w:color w:val="auto"/>
              </w:rPr>
            </w:pPr>
            <w:r>
              <w:rPr>
                <w:rFonts w:hint="eastAsia"/>
                <w:color w:val="auto"/>
                <w:szCs w:val="21"/>
              </w:rPr>
              <w:t>滴灌</w:t>
            </w:r>
          </w:p>
        </w:tc>
      </w:tr>
    </w:tbl>
    <w:p>
      <w:pPr>
        <w:pStyle w:val="105"/>
        <w:spacing w:before="240" w:after="240"/>
        <w:rPr>
          <w:color w:val="auto"/>
        </w:rPr>
      </w:pPr>
      <w:r>
        <w:rPr>
          <w:rFonts w:hint="eastAsia"/>
          <w:color w:val="auto"/>
        </w:rPr>
        <w:t>豇豆农药减量施用</w:t>
      </w:r>
    </w:p>
    <w:p>
      <w:pPr>
        <w:pStyle w:val="106"/>
        <w:spacing w:before="120" w:after="120"/>
        <w:rPr>
          <w:color w:val="auto"/>
        </w:rPr>
      </w:pPr>
      <w:r>
        <w:rPr>
          <w:rFonts w:hint="eastAsia"/>
          <w:color w:val="auto"/>
        </w:rPr>
        <w:t>基本要求</w:t>
      </w:r>
    </w:p>
    <w:p>
      <w:pPr>
        <w:pStyle w:val="166"/>
        <w:ind w:left="0"/>
        <w:rPr>
          <w:color w:val="auto"/>
        </w:rPr>
      </w:pPr>
      <w:r>
        <w:rPr>
          <w:rFonts w:hint="eastAsia"/>
          <w:color w:val="auto"/>
        </w:rPr>
        <w:t>应符合G</w:t>
      </w:r>
      <w:r>
        <w:rPr>
          <w:color w:val="auto"/>
        </w:rPr>
        <w:t>B/T 8321</w:t>
      </w:r>
      <w:r>
        <w:rPr>
          <w:rFonts w:hint="eastAsia"/>
          <w:color w:val="auto"/>
        </w:rPr>
        <w:t>（所有部分）的规定。</w:t>
      </w:r>
    </w:p>
    <w:p>
      <w:pPr>
        <w:pStyle w:val="166"/>
        <w:ind w:left="0"/>
      </w:pPr>
      <w:r>
        <w:rPr>
          <w:rFonts w:hint="eastAsia"/>
          <w:color w:val="auto"/>
        </w:rPr>
        <w:t>使用无人机</w:t>
      </w:r>
      <w:bookmarkStart w:id="37" w:name="_Hlk79015470"/>
      <w:r>
        <w:rPr>
          <w:rFonts w:hint="eastAsia" w:hAnsi="宋体" w:cs="宋体"/>
          <w:color w:val="auto"/>
          <w:szCs w:val="21"/>
        </w:rPr>
        <w:t>（单旋翼或多旋翼）</w:t>
      </w:r>
      <w:bookmarkEnd w:id="37"/>
      <w:r>
        <w:rPr>
          <w:rFonts w:hint="eastAsia"/>
          <w:color w:val="auto"/>
        </w:rPr>
        <w:t>喷施时，宜骑行或</w:t>
      </w:r>
      <w:r>
        <w:rPr>
          <w:rFonts w:hint="eastAsia"/>
        </w:rPr>
        <w:t>骑垄进行；垂直行</w:t>
      </w:r>
      <w:bookmarkStart w:id="38" w:name="_Hlk79094768"/>
      <w:r>
        <w:rPr>
          <w:rFonts w:hint="eastAsia"/>
        </w:rPr>
        <w:t>喷</w:t>
      </w:r>
      <w:bookmarkEnd w:id="38"/>
      <w:r>
        <w:rPr>
          <w:rFonts w:hint="eastAsia"/>
        </w:rPr>
        <w:t>药时，应防止漏喷或重喷；速度不宜过快，</w:t>
      </w:r>
      <w:bookmarkStart w:id="39" w:name="OLE_LINK1"/>
      <w:bookmarkStart w:id="40" w:name="OLE_LINK2"/>
      <w:r>
        <w:rPr>
          <w:rFonts w:hint="eastAsia"/>
        </w:rPr>
        <w:t>药剂应分散到豇豆冠层里面（非仅表面）</w:t>
      </w:r>
      <w:bookmarkEnd w:id="39"/>
      <w:bookmarkEnd w:id="40"/>
      <w:r>
        <w:rPr>
          <w:rFonts w:hint="eastAsia"/>
        </w:rPr>
        <w:t>。</w:t>
      </w:r>
    </w:p>
    <w:p>
      <w:pPr>
        <w:pStyle w:val="166"/>
        <w:ind w:left="0"/>
      </w:pPr>
      <w:r>
        <w:rPr>
          <w:rFonts w:hint="eastAsia"/>
        </w:rPr>
        <w:t>使用背负式低容量喷雾器喷施时，应注意安全防护，人机未分离时，应避免雾滴漂移接触到人。</w:t>
      </w:r>
    </w:p>
    <w:p>
      <w:pPr>
        <w:pStyle w:val="106"/>
        <w:spacing w:before="120" w:after="120"/>
      </w:pPr>
      <w:r>
        <w:rPr>
          <w:rFonts w:hint="eastAsia"/>
        </w:rPr>
        <w:t>配药方法</w:t>
      </w:r>
    </w:p>
    <w:p>
      <w:pPr>
        <w:pStyle w:val="57"/>
        <w:ind w:firstLine="420"/>
      </w:pPr>
      <w:r>
        <w:rPr>
          <w:rFonts w:hint="eastAsia"/>
        </w:rPr>
        <w:t>加药前，应先加入至少一半水，每加一种药，进行搅动稀释，加完所有药剂后用水定容至所需药水量，最后充分摇匀。农药应按照悬浮剂、水剂、水乳剂、微乳剂、乳油的顺序依次兑入混匀；叶面肥与农药混配时，应随配随用。</w:t>
      </w:r>
    </w:p>
    <w:p>
      <w:pPr>
        <w:pStyle w:val="57"/>
        <w:ind w:firstLine="420"/>
        <w:rPr>
          <w:color w:val="FF0000"/>
        </w:rPr>
      </w:pPr>
    </w:p>
    <w:p>
      <w:pPr>
        <w:pStyle w:val="106"/>
        <w:spacing w:before="120" w:after="120"/>
      </w:pPr>
      <w:r>
        <w:rPr>
          <w:rFonts w:hint="eastAsia"/>
        </w:rPr>
        <w:t>农药施用方法</w:t>
      </w:r>
    </w:p>
    <w:p>
      <w:pPr>
        <w:pStyle w:val="232"/>
        <w:rPr>
          <w:color w:val="FF0000"/>
        </w:rPr>
      </w:pPr>
      <w:r>
        <w:rPr>
          <w:rFonts w:hint="eastAsia"/>
        </w:rPr>
        <w:t>豇豆的农药减量施用应符合表</w:t>
      </w:r>
      <w:r>
        <w:t>2</w:t>
      </w:r>
      <w:r>
        <w:rPr>
          <w:rFonts w:hint="eastAsia"/>
        </w:rPr>
        <w:t>的规定。</w:t>
      </w:r>
    </w:p>
    <w:p>
      <w:pPr>
        <w:pStyle w:val="113"/>
        <w:spacing w:before="120" w:after="120"/>
      </w:pPr>
      <w:r>
        <w:rPr>
          <w:rFonts w:hint="eastAsia"/>
        </w:rPr>
        <w:t>豇豆农药施用方法</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4262"/>
        <w:gridCol w:w="26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17" w:type="dxa"/>
            <w:tcBorders>
              <w:top w:val="single" w:color="auto" w:sz="8" w:space="0"/>
              <w:bottom w:val="single" w:color="auto" w:sz="8" w:space="0"/>
            </w:tcBorders>
            <w:shd w:val="clear" w:color="auto" w:fill="auto"/>
            <w:vAlign w:val="center"/>
          </w:tcPr>
          <w:p>
            <w:pPr>
              <w:pStyle w:val="179"/>
              <w:spacing w:line="300" w:lineRule="exact"/>
            </w:pPr>
            <w:r>
              <w:rPr>
                <w:rFonts w:hint="eastAsia"/>
              </w:rPr>
              <w:t>防治对象</w:t>
            </w:r>
          </w:p>
        </w:tc>
        <w:tc>
          <w:tcPr>
            <w:tcW w:w="4262" w:type="dxa"/>
            <w:tcBorders>
              <w:top w:val="single" w:color="auto" w:sz="8" w:space="0"/>
              <w:bottom w:val="single" w:color="auto" w:sz="8" w:space="0"/>
            </w:tcBorders>
            <w:shd w:val="clear" w:color="auto" w:fill="auto"/>
            <w:vAlign w:val="center"/>
          </w:tcPr>
          <w:p>
            <w:pPr>
              <w:pStyle w:val="179"/>
              <w:spacing w:line="300" w:lineRule="exact"/>
            </w:pPr>
            <w:r>
              <w:rPr>
                <w:rFonts w:hint="eastAsia"/>
              </w:rPr>
              <w:t>药剂</w:t>
            </w:r>
          </w:p>
        </w:tc>
        <w:tc>
          <w:tcPr>
            <w:tcW w:w="2693" w:type="dxa"/>
            <w:tcBorders>
              <w:top w:val="single" w:color="auto" w:sz="8" w:space="0"/>
              <w:bottom w:val="single" w:color="auto" w:sz="8" w:space="0"/>
            </w:tcBorders>
            <w:shd w:val="clear" w:color="auto" w:fill="auto"/>
            <w:vAlign w:val="center"/>
          </w:tcPr>
          <w:p>
            <w:pPr>
              <w:pStyle w:val="179"/>
              <w:spacing w:line="300" w:lineRule="exact"/>
            </w:pPr>
            <w:r>
              <w:rPr>
                <w:rFonts w:hint="eastAsia"/>
              </w:rPr>
              <w:t>低容量喷雾用量（g/667m</w:t>
            </w:r>
            <w:r>
              <w:rPr>
                <w:rFonts w:hint="eastAsia"/>
                <w:vertAlign w:val="superscript"/>
              </w:rPr>
              <w:t>2</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restart"/>
            <w:tcBorders>
              <w:top w:val="single" w:color="auto" w:sz="8" w:space="0"/>
            </w:tcBorders>
            <w:shd w:val="clear" w:color="auto" w:fill="auto"/>
            <w:vAlign w:val="center"/>
          </w:tcPr>
          <w:p>
            <w:pPr>
              <w:pStyle w:val="179"/>
              <w:spacing w:line="300" w:lineRule="exact"/>
            </w:pPr>
            <w:r>
              <w:rPr>
                <w:rFonts w:hint="eastAsia" w:hAnsi="宋体" w:cs="宋体"/>
                <w:color w:val="000000"/>
                <w:szCs w:val="18"/>
              </w:rPr>
              <w:t>病毒病</w:t>
            </w:r>
          </w:p>
        </w:tc>
        <w:tc>
          <w:tcPr>
            <w:tcW w:w="4262" w:type="dxa"/>
            <w:tcBorders>
              <w:top w:val="single" w:color="auto" w:sz="8" w:space="0"/>
            </w:tcBorders>
            <w:shd w:val="clear" w:color="auto" w:fill="auto"/>
            <w:vAlign w:val="center"/>
          </w:tcPr>
          <w:p>
            <w:pPr>
              <w:pStyle w:val="179"/>
              <w:spacing w:line="300" w:lineRule="exact"/>
            </w:pPr>
            <w:r>
              <w:rPr>
                <w:rFonts w:hint="eastAsia" w:hAnsi="宋体" w:cs="宋体"/>
                <w:color w:val="000000"/>
                <w:szCs w:val="18"/>
              </w:rPr>
              <w:t>20％毒氟磷悬浮剂</w:t>
            </w:r>
          </w:p>
        </w:tc>
        <w:tc>
          <w:tcPr>
            <w:tcW w:w="2693" w:type="dxa"/>
            <w:tcBorders>
              <w:top w:val="single" w:color="auto" w:sz="8" w:space="0"/>
            </w:tcBorders>
            <w:shd w:val="clear" w:color="auto" w:fill="auto"/>
            <w:vAlign w:val="center"/>
          </w:tcPr>
          <w:p>
            <w:pPr>
              <w:pStyle w:val="179"/>
              <w:spacing w:line="300" w:lineRule="exact"/>
            </w:pPr>
            <w:r>
              <w:rPr>
                <w:rFonts w:hint="eastAsia" w:hAnsi="宋体" w:cs="宋体"/>
                <w:color w:val="000000"/>
                <w:szCs w:val="18"/>
              </w:rPr>
              <w:t>50～80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continue"/>
            <w:shd w:val="clear" w:color="auto" w:fill="auto"/>
            <w:vAlign w:val="center"/>
          </w:tcPr>
          <w:p>
            <w:pPr>
              <w:pStyle w:val="179"/>
              <w:spacing w:line="300" w:lineRule="exact"/>
            </w:pPr>
          </w:p>
        </w:tc>
        <w:tc>
          <w:tcPr>
            <w:tcW w:w="4262" w:type="dxa"/>
            <w:shd w:val="clear" w:color="auto" w:fill="auto"/>
            <w:vAlign w:val="center"/>
          </w:tcPr>
          <w:p>
            <w:pPr>
              <w:pStyle w:val="179"/>
              <w:spacing w:line="300" w:lineRule="exact"/>
            </w:pPr>
            <w:r>
              <w:rPr>
                <w:rFonts w:hint="eastAsia" w:hAnsi="宋体" w:cs="宋体"/>
                <w:color w:val="000000"/>
                <w:szCs w:val="18"/>
              </w:rPr>
              <w:t>2％氨基寡糖素水剂</w:t>
            </w:r>
          </w:p>
        </w:tc>
        <w:tc>
          <w:tcPr>
            <w:tcW w:w="2693" w:type="dxa"/>
            <w:shd w:val="clear" w:color="auto" w:fill="auto"/>
            <w:vAlign w:val="center"/>
          </w:tcPr>
          <w:p>
            <w:pPr>
              <w:pStyle w:val="179"/>
              <w:spacing w:line="300" w:lineRule="exact"/>
            </w:pPr>
            <w:r>
              <w:rPr>
                <w:rFonts w:hint="eastAsia" w:hAnsi="宋体" w:cs="宋体"/>
                <w:color w:val="000000"/>
                <w:szCs w:val="18"/>
              </w:rPr>
              <w:t>45～75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restart"/>
            <w:shd w:val="clear" w:color="auto" w:fill="auto"/>
            <w:vAlign w:val="center"/>
          </w:tcPr>
          <w:p>
            <w:pPr>
              <w:pStyle w:val="179"/>
              <w:spacing w:line="300" w:lineRule="exact"/>
            </w:pPr>
            <w:r>
              <w:rPr>
                <w:rFonts w:hint="eastAsia" w:hAnsi="宋体" w:cs="宋体"/>
                <w:color w:val="000000"/>
                <w:szCs w:val="18"/>
              </w:rPr>
              <w:t>煤霉病</w:t>
            </w:r>
          </w:p>
        </w:tc>
        <w:tc>
          <w:tcPr>
            <w:tcW w:w="4262" w:type="dxa"/>
            <w:shd w:val="clear" w:color="auto" w:fill="auto"/>
            <w:vAlign w:val="center"/>
          </w:tcPr>
          <w:p>
            <w:pPr>
              <w:pStyle w:val="179"/>
              <w:spacing w:line="300" w:lineRule="exact"/>
            </w:pPr>
            <w:r>
              <w:rPr>
                <w:rFonts w:hint="eastAsia" w:hAnsi="宋体" w:cs="宋体"/>
                <w:color w:val="000000"/>
                <w:szCs w:val="18"/>
              </w:rPr>
              <w:t>25％氟环唑悬浮剂</w:t>
            </w:r>
          </w:p>
        </w:tc>
        <w:tc>
          <w:tcPr>
            <w:tcW w:w="2693" w:type="dxa"/>
            <w:shd w:val="clear" w:color="auto" w:fill="auto"/>
            <w:vAlign w:val="center"/>
          </w:tcPr>
          <w:p>
            <w:pPr>
              <w:pStyle w:val="179"/>
              <w:spacing w:line="300" w:lineRule="exact"/>
            </w:pPr>
            <w:r>
              <w:rPr>
                <w:rFonts w:hint="eastAsia" w:hAnsi="宋体" w:cs="宋体"/>
                <w:color w:val="000000"/>
                <w:szCs w:val="18"/>
              </w:rPr>
              <w:t>10～20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continue"/>
            <w:shd w:val="clear" w:color="auto" w:fill="auto"/>
            <w:vAlign w:val="center"/>
          </w:tcPr>
          <w:p>
            <w:pPr>
              <w:pStyle w:val="179"/>
              <w:spacing w:line="300" w:lineRule="exact"/>
            </w:pPr>
          </w:p>
        </w:tc>
        <w:tc>
          <w:tcPr>
            <w:tcW w:w="4262" w:type="dxa"/>
            <w:shd w:val="clear" w:color="auto" w:fill="auto"/>
            <w:vAlign w:val="center"/>
          </w:tcPr>
          <w:p>
            <w:pPr>
              <w:pStyle w:val="179"/>
              <w:spacing w:line="300" w:lineRule="exact"/>
            </w:pPr>
            <w:r>
              <w:rPr>
                <w:rFonts w:hint="eastAsia" w:hAnsi="宋体" w:cs="宋体"/>
                <w:color w:val="000000"/>
                <w:szCs w:val="18"/>
              </w:rPr>
              <w:t>30％吡唑·啶酰菌胺SC</w:t>
            </w:r>
          </w:p>
        </w:tc>
        <w:tc>
          <w:tcPr>
            <w:tcW w:w="2693" w:type="dxa"/>
            <w:shd w:val="clear" w:color="auto" w:fill="auto"/>
            <w:vAlign w:val="center"/>
          </w:tcPr>
          <w:p>
            <w:pPr>
              <w:pStyle w:val="179"/>
              <w:spacing w:line="300" w:lineRule="exact"/>
            </w:pPr>
            <w:r>
              <w:rPr>
                <w:rFonts w:hint="eastAsia" w:hAnsi="宋体" w:cs="宋体"/>
                <w:color w:val="000000"/>
                <w:szCs w:val="18"/>
              </w:rPr>
              <w:t>20～30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continue"/>
            <w:shd w:val="clear" w:color="auto" w:fill="auto"/>
            <w:vAlign w:val="center"/>
          </w:tcPr>
          <w:p>
            <w:pPr>
              <w:pStyle w:val="179"/>
              <w:spacing w:line="300" w:lineRule="exact"/>
            </w:pPr>
          </w:p>
        </w:tc>
        <w:tc>
          <w:tcPr>
            <w:tcW w:w="4262" w:type="dxa"/>
            <w:shd w:val="clear" w:color="auto" w:fill="auto"/>
            <w:vAlign w:val="center"/>
          </w:tcPr>
          <w:p>
            <w:pPr>
              <w:pStyle w:val="179"/>
              <w:spacing w:line="300" w:lineRule="exact"/>
            </w:pPr>
            <w:r>
              <w:rPr>
                <w:rFonts w:hint="eastAsia" w:hAnsi="宋体" w:cs="宋体"/>
                <w:color w:val="000000"/>
                <w:szCs w:val="18"/>
              </w:rPr>
              <w:t>5％嘧菌酯超低容量液剂</w:t>
            </w:r>
          </w:p>
        </w:tc>
        <w:tc>
          <w:tcPr>
            <w:tcW w:w="2693" w:type="dxa"/>
            <w:shd w:val="clear" w:color="auto" w:fill="auto"/>
            <w:vAlign w:val="center"/>
          </w:tcPr>
          <w:p>
            <w:pPr>
              <w:pStyle w:val="179"/>
              <w:spacing w:line="300" w:lineRule="exact"/>
            </w:pPr>
            <w:r>
              <w:rPr>
                <w:rFonts w:hint="eastAsia" w:hAnsi="宋体" w:cs="宋体"/>
                <w:color w:val="000000"/>
                <w:szCs w:val="18"/>
              </w:rPr>
              <w:t>60～80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restart"/>
            <w:shd w:val="clear" w:color="auto" w:fill="auto"/>
            <w:vAlign w:val="center"/>
          </w:tcPr>
          <w:p>
            <w:pPr>
              <w:pStyle w:val="179"/>
              <w:spacing w:line="300" w:lineRule="exact"/>
            </w:pPr>
            <w:r>
              <w:rPr>
                <w:rFonts w:hint="eastAsia" w:hAnsi="宋体" w:cs="宋体"/>
                <w:color w:val="000000"/>
                <w:szCs w:val="18"/>
              </w:rPr>
              <w:t>锈病、白粉病</w:t>
            </w:r>
          </w:p>
        </w:tc>
        <w:tc>
          <w:tcPr>
            <w:tcW w:w="4262" w:type="dxa"/>
            <w:shd w:val="clear" w:color="auto" w:fill="auto"/>
            <w:vAlign w:val="center"/>
          </w:tcPr>
          <w:p>
            <w:pPr>
              <w:pStyle w:val="179"/>
              <w:spacing w:line="300" w:lineRule="exact"/>
            </w:pPr>
            <w:r>
              <w:rPr>
                <w:rFonts w:hint="eastAsia" w:hAnsi="宋体" w:cs="宋体"/>
                <w:color w:val="000000"/>
                <w:szCs w:val="18"/>
              </w:rPr>
              <w:t>10％吡唑·戊唑醇超低容量液剂</w:t>
            </w:r>
          </w:p>
        </w:tc>
        <w:tc>
          <w:tcPr>
            <w:tcW w:w="2693" w:type="dxa"/>
            <w:shd w:val="clear" w:color="auto" w:fill="auto"/>
            <w:vAlign w:val="center"/>
          </w:tcPr>
          <w:p>
            <w:pPr>
              <w:pStyle w:val="179"/>
              <w:spacing w:line="300" w:lineRule="exact"/>
            </w:pPr>
            <w:r>
              <w:rPr>
                <w:rFonts w:hint="eastAsia" w:hAnsi="宋体" w:cs="宋体"/>
                <w:color w:val="000000"/>
                <w:szCs w:val="18"/>
              </w:rPr>
              <w:t>45～75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continue"/>
            <w:shd w:val="clear" w:color="auto" w:fill="auto"/>
            <w:vAlign w:val="center"/>
          </w:tcPr>
          <w:p>
            <w:pPr>
              <w:pStyle w:val="179"/>
              <w:spacing w:line="300" w:lineRule="exact"/>
            </w:pPr>
          </w:p>
        </w:tc>
        <w:tc>
          <w:tcPr>
            <w:tcW w:w="4262" w:type="dxa"/>
            <w:shd w:val="clear" w:color="auto" w:fill="auto"/>
            <w:vAlign w:val="center"/>
          </w:tcPr>
          <w:p>
            <w:pPr>
              <w:pStyle w:val="179"/>
              <w:spacing w:line="300" w:lineRule="exact"/>
            </w:pPr>
            <w:r>
              <w:rPr>
                <w:rFonts w:hint="eastAsia" w:hAnsi="宋体" w:cs="宋体"/>
                <w:color w:val="000000"/>
                <w:szCs w:val="18"/>
              </w:rPr>
              <w:t>25%氟环唑悬浮剂</w:t>
            </w:r>
          </w:p>
        </w:tc>
        <w:tc>
          <w:tcPr>
            <w:tcW w:w="2693" w:type="dxa"/>
            <w:shd w:val="clear" w:color="auto" w:fill="auto"/>
            <w:vAlign w:val="center"/>
          </w:tcPr>
          <w:p>
            <w:pPr>
              <w:pStyle w:val="179"/>
              <w:spacing w:line="300" w:lineRule="exact"/>
            </w:pPr>
            <w:r>
              <w:rPr>
                <w:rFonts w:hint="eastAsia" w:hAnsi="宋体" w:cs="宋体"/>
                <w:color w:val="000000"/>
                <w:szCs w:val="18"/>
              </w:rPr>
              <w:t>10～20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continue"/>
            <w:shd w:val="clear" w:color="auto" w:fill="auto"/>
            <w:vAlign w:val="center"/>
          </w:tcPr>
          <w:p>
            <w:pPr>
              <w:pStyle w:val="179"/>
              <w:spacing w:line="300" w:lineRule="exact"/>
            </w:pPr>
          </w:p>
        </w:tc>
        <w:tc>
          <w:tcPr>
            <w:tcW w:w="4262" w:type="dxa"/>
            <w:shd w:val="clear" w:color="auto" w:fill="auto"/>
            <w:vAlign w:val="center"/>
          </w:tcPr>
          <w:p>
            <w:pPr>
              <w:pStyle w:val="179"/>
              <w:spacing w:line="300" w:lineRule="exact"/>
            </w:pPr>
            <w:r>
              <w:rPr>
                <w:rFonts w:hint="eastAsia" w:hAnsi="宋体" w:cs="宋体"/>
                <w:color w:val="000000"/>
                <w:szCs w:val="18"/>
              </w:rPr>
              <w:t>45％戊唑醇·嘧菌酯悬浮剂</w:t>
            </w:r>
          </w:p>
        </w:tc>
        <w:tc>
          <w:tcPr>
            <w:tcW w:w="2693" w:type="dxa"/>
            <w:shd w:val="clear" w:color="auto" w:fill="auto"/>
            <w:vAlign w:val="center"/>
          </w:tcPr>
          <w:p>
            <w:pPr>
              <w:pStyle w:val="179"/>
              <w:spacing w:line="300" w:lineRule="exact"/>
            </w:pPr>
            <w:r>
              <w:rPr>
                <w:rFonts w:hint="eastAsia" w:hAnsi="宋体" w:cs="宋体"/>
                <w:color w:val="000000"/>
                <w:szCs w:val="18"/>
              </w:rPr>
              <w:t>20～30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restart"/>
            <w:shd w:val="clear" w:color="auto" w:fill="auto"/>
            <w:vAlign w:val="center"/>
          </w:tcPr>
          <w:p>
            <w:pPr>
              <w:pStyle w:val="179"/>
              <w:spacing w:line="300" w:lineRule="exact"/>
            </w:pPr>
            <w:r>
              <w:rPr>
                <w:rFonts w:hint="eastAsia" w:hAnsi="宋体" w:cs="宋体"/>
                <w:color w:val="000000"/>
                <w:szCs w:val="18"/>
              </w:rPr>
              <w:t>细菌性疫病</w:t>
            </w:r>
          </w:p>
        </w:tc>
        <w:tc>
          <w:tcPr>
            <w:tcW w:w="4262" w:type="dxa"/>
            <w:shd w:val="clear" w:color="auto" w:fill="auto"/>
            <w:vAlign w:val="center"/>
          </w:tcPr>
          <w:p>
            <w:pPr>
              <w:pStyle w:val="179"/>
              <w:spacing w:line="300" w:lineRule="exact"/>
            </w:pPr>
            <w:r>
              <w:rPr>
                <w:rFonts w:hint="eastAsia" w:hAnsi="宋体" w:cs="宋体"/>
                <w:color w:val="000000"/>
                <w:szCs w:val="18"/>
              </w:rPr>
              <w:t>2％春雷霉素水剂</w:t>
            </w:r>
          </w:p>
        </w:tc>
        <w:tc>
          <w:tcPr>
            <w:tcW w:w="2693" w:type="dxa"/>
            <w:shd w:val="clear" w:color="auto" w:fill="auto"/>
            <w:vAlign w:val="center"/>
          </w:tcPr>
          <w:p>
            <w:pPr>
              <w:pStyle w:val="179"/>
              <w:spacing w:line="300" w:lineRule="exact"/>
            </w:pPr>
            <w:r>
              <w:rPr>
                <w:rFonts w:hint="eastAsia" w:hAnsi="宋体" w:cs="宋体"/>
                <w:color w:val="000000"/>
                <w:szCs w:val="18"/>
              </w:rPr>
              <w:t>80～120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continue"/>
            <w:shd w:val="clear" w:color="auto" w:fill="auto"/>
            <w:vAlign w:val="center"/>
          </w:tcPr>
          <w:p>
            <w:pPr>
              <w:pStyle w:val="179"/>
              <w:spacing w:line="300" w:lineRule="exact"/>
            </w:pPr>
          </w:p>
        </w:tc>
        <w:tc>
          <w:tcPr>
            <w:tcW w:w="4262" w:type="dxa"/>
            <w:shd w:val="clear" w:color="auto" w:fill="auto"/>
            <w:vAlign w:val="center"/>
          </w:tcPr>
          <w:p>
            <w:pPr>
              <w:pStyle w:val="179"/>
              <w:spacing w:line="300" w:lineRule="exact"/>
            </w:pPr>
            <w:r>
              <w:rPr>
                <w:rFonts w:hint="eastAsia" w:hAnsi="宋体" w:cs="宋体"/>
                <w:color w:val="000000"/>
                <w:szCs w:val="18"/>
              </w:rPr>
              <w:t>25％溴菌腈微乳剂</w:t>
            </w:r>
          </w:p>
        </w:tc>
        <w:tc>
          <w:tcPr>
            <w:tcW w:w="2693" w:type="dxa"/>
            <w:shd w:val="clear" w:color="auto" w:fill="auto"/>
            <w:vAlign w:val="center"/>
          </w:tcPr>
          <w:p>
            <w:pPr>
              <w:pStyle w:val="179"/>
              <w:spacing w:line="300" w:lineRule="exact"/>
            </w:pPr>
            <w:r>
              <w:rPr>
                <w:rFonts w:hint="eastAsia" w:hAnsi="宋体" w:cs="宋体"/>
                <w:color w:val="000000"/>
                <w:szCs w:val="18"/>
              </w:rPr>
              <w:t>20～40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continue"/>
            <w:shd w:val="clear" w:color="auto" w:fill="auto"/>
            <w:vAlign w:val="center"/>
          </w:tcPr>
          <w:p>
            <w:pPr>
              <w:pStyle w:val="179"/>
              <w:spacing w:line="300" w:lineRule="exact"/>
            </w:pPr>
          </w:p>
        </w:tc>
        <w:tc>
          <w:tcPr>
            <w:tcW w:w="4262" w:type="dxa"/>
            <w:shd w:val="clear" w:color="auto" w:fill="auto"/>
            <w:vAlign w:val="center"/>
          </w:tcPr>
          <w:p>
            <w:pPr>
              <w:pStyle w:val="179"/>
              <w:spacing w:line="300" w:lineRule="exact"/>
            </w:pPr>
            <w:r>
              <w:rPr>
                <w:rFonts w:hint="eastAsia" w:hAnsi="宋体" w:cs="宋体"/>
                <w:color w:val="000000"/>
                <w:szCs w:val="18"/>
              </w:rPr>
              <w:t>33％春雷·喹啉铜悬浮剂</w:t>
            </w:r>
          </w:p>
        </w:tc>
        <w:tc>
          <w:tcPr>
            <w:tcW w:w="2693" w:type="dxa"/>
            <w:shd w:val="clear" w:color="auto" w:fill="auto"/>
            <w:vAlign w:val="center"/>
          </w:tcPr>
          <w:p>
            <w:pPr>
              <w:pStyle w:val="179"/>
              <w:spacing w:line="300" w:lineRule="exact"/>
            </w:pPr>
            <w:r>
              <w:rPr>
                <w:rFonts w:hint="eastAsia" w:hAnsi="宋体" w:cs="宋体"/>
                <w:color w:val="000000"/>
                <w:szCs w:val="18"/>
              </w:rPr>
              <w:t>45～75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restart"/>
            <w:shd w:val="clear" w:color="auto" w:fill="auto"/>
            <w:vAlign w:val="center"/>
          </w:tcPr>
          <w:p>
            <w:pPr>
              <w:pStyle w:val="179"/>
              <w:spacing w:line="300" w:lineRule="exact"/>
            </w:pPr>
            <w:r>
              <w:rPr>
                <w:rFonts w:hint="eastAsia" w:hAnsi="宋体" w:cs="宋体"/>
                <w:color w:val="000000"/>
                <w:szCs w:val="18"/>
              </w:rPr>
              <w:t>蓟马</w:t>
            </w:r>
          </w:p>
        </w:tc>
        <w:tc>
          <w:tcPr>
            <w:tcW w:w="4262" w:type="dxa"/>
            <w:shd w:val="clear" w:color="auto" w:fill="auto"/>
            <w:vAlign w:val="center"/>
          </w:tcPr>
          <w:p>
            <w:pPr>
              <w:pStyle w:val="179"/>
              <w:spacing w:line="300" w:lineRule="exact"/>
            </w:pPr>
            <w:r>
              <w:rPr>
                <w:rFonts w:hint="eastAsia" w:hAnsi="宋体" w:cs="宋体"/>
                <w:color w:val="000000"/>
                <w:szCs w:val="18"/>
              </w:rPr>
              <w:t>15％啶虫脒乳油</w:t>
            </w:r>
          </w:p>
        </w:tc>
        <w:tc>
          <w:tcPr>
            <w:tcW w:w="2693" w:type="dxa"/>
            <w:shd w:val="clear" w:color="auto" w:fill="auto"/>
            <w:vAlign w:val="center"/>
          </w:tcPr>
          <w:p>
            <w:pPr>
              <w:pStyle w:val="179"/>
              <w:spacing w:line="300" w:lineRule="exact"/>
            </w:pPr>
            <w:r>
              <w:rPr>
                <w:rFonts w:hint="eastAsia" w:hAnsi="宋体" w:cs="宋体"/>
                <w:color w:val="000000"/>
                <w:szCs w:val="18"/>
              </w:rPr>
              <w:t>13～20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continue"/>
            <w:shd w:val="clear" w:color="auto" w:fill="auto"/>
            <w:vAlign w:val="center"/>
          </w:tcPr>
          <w:p>
            <w:pPr>
              <w:pStyle w:val="179"/>
              <w:spacing w:line="300" w:lineRule="exact"/>
            </w:pPr>
          </w:p>
        </w:tc>
        <w:tc>
          <w:tcPr>
            <w:tcW w:w="4262" w:type="dxa"/>
            <w:shd w:val="clear" w:color="auto" w:fill="auto"/>
            <w:vAlign w:val="center"/>
          </w:tcPr>
          <w:p>
            <w:pPr>
              <w:pStyle w:val="179"/>
              <w:spacing w:line="300" w:lineRule="exact"/>
            </w:pPr>
            <w:r>
              <w:rPr>
                <w:rFonts w:hint="eastAsia" w:hAnsi="宋体" w:cs="宋体"/>
                <w:color w:val="000000"/>
                <w:szCs w:val="18"/>
              </w:rPr>
              <w:t>33%螺虫•噻嗪酮悬浮剂</w:t>
            </w:r>
          </w:p>
        </w:tc>
        <w:tc>
          <w:tcPr>
            <w:tcW w:w="2693" w:type="dxa"/>
            <w:shd w:val="clear" w:color="auto" w:fill="auto"/>
            <w:vAlign w:val="center"/>
          </w:tcPr>
          <w:p>
            <w:pPr>
              <w:pStyle w:val="179"/>
              <w:spacing w:line="300" w:lineRule="exact"/>
            </w:pPr>
            <w:r>
              <w:rPr>
                <w:rFonts w:hint="eastAsia" w:hAnsi="宋体" w:cs="宋体"/>
                <w:color w:val="000000"/>
                <w:szCs w:val="18"/>
              </w:rPr>
              <w:t>30～50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continue"/>
            <w:shd w:val="clear" w:color="auto" w:fill="auto"/>
            <w:vAlign w:val="center"/>
          </w:tcPr>
          <w:p>
            <w:pPr>
              <w:pStyle w:val="179"/>
              <w:spacing w:line="300" w:lineRule="exact"/>
            </w:pPr>
          </w:p>
        </w:tc>
        <w:tc>
          <w:tcPr>
            <w:tcW w:w="4262" w:type="dxa"/>
            <w:shd w:val="clear" w:color="auto" w:fill="auto"/>
            <w:vAlign w:val="center"/>
          </w:tcPr>
          <w:p>
            <w:pPr>
              <w:pStyle w:val="179"/>
              <w:spacing w:line="300" w:lineRule="exact"/>
            </w:pPr>
            <w:r>
              <w:rPr>
                <w:rFonts w:hint="eastAsia" w:hAnsi="宋体" w:cs="宋体"/>
                <w:color w:val="000000"/>
                <w:szCs w:val="18"/>
              </w:rPr>
              <w:t>22.5％螺虫乙酯悬浮剂</w:t>
            </w:r>
          </w:p>
        </w:tc>
        <w:tc>
          <w:tcPr>
            <w:tcW w:w="2693" w:type="dxa"/>
            <w:shd w:val="clear" w:color="auto" w:fill="auto"/>
            <w:vAlign w:val="center"/>
          </w:tcPr>
          <w:p>
            <w:pPr>
              <w:pStyle w:val="179"/>
              <w:spacing w:line="300" w:lineRule="exact"/>
            </w:pPr>
            <w:r>
              <w:rPr>
                <w:rFonts w:hint="eastAsia" w:hAnsi="宋体" w:cs="宋体"/>
                <w:color w:val="000000"/>
                <w:szCs w:val="18"/>
              </w:rPr>
              <w:t>20～30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continue"/>
            <w:shd w:val="clear" w:color="auto" w:fill="auto"/>
            <w:vAlign w:val="center"/>
          </w:tcPr>
          <w:p>
            <w:pPr>
              <w:pStyle w:val="179"/>
              <w:spacing w:line="300" w:lineRule="exact"/>
            </w:pPr>
          </w:p>
        </w:tc>
        <w:tc>
          <w:tcPr>
            <w:tcW w:w="4262" w:type="dxa"/>
            <w:shd w:val="clear" w:color="auto" w:fill="auto"/>
            <w:vAlign w:val="center"/>
          </w:tcPr>
          <w:p>
            <w:pPr>
              <w:pStyle w:val="179"/>
              <w:spacing w:line="300" w:lineRule="exact"/>
            </w:pPr>
            <w:r>
              <w:rPr>
                <w:rFonts w:hint="eastAsia" w:hAnsi="宋体" w:cs="宋体"/>
                <w:color w:val="000000"/>
                <w:szCs w:val="18"/>
              </w:rPr>
              <w:t>3％噻虫嗪超低容量液剂</w:t>
            </w:r>
          </w:p>
        </w:tc>
        <w:tc>
          <w:tcPr>
            <w:tcW w:w="2693" w:type="dxa"/>
            <w:shd w:val="clear" w:color="auto" w:fill="auto"/>
            <w:vAlign w:val="center"/>
          </w:tcPr>
          <w:p>
            <w:pPr>
              <w:pStyle w:val="179"/>
              <w:spacing w:line="300" w:lineRule="exact"/>
            </w:pPr>
            <w:r>
              <w:rPr>
                <w:rFonts w:hint="eastAsia" w:hAnsi="宋体" w:cs="宋体"/>
                <w:color w:val="000000"/>
                <w:szCs w:val="18"/>
              </w:rPr>
              <w:t>60～80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restart"/>
            <w:shd w:val="clear" w:color="auto" w:fill="auto"/>
            <w:vAlign w:val="center"/>
          </w:tcPr>
          <w:p>
            <w:pPr>
              <w:pStyle w:val="179"/>
              <w:spacing w:line="300" w:lineRule="exact"/>
            </w:pPr>
            <w:r>
              <w:rPr>
                <w:rFonts w:hint="eastAsia" w:hAnsi="宋体" w:cs="宋体"/>
                <w:color w:val="000000"/>
                <w:szCs w:val="18"/>
              </w:rPr>
              <w:t>斑潜蝇</w:t>
            </w:r>
          </w:p>
        </w:tc>
        <w:tc>
          <w:tcPr>
            <w:tcW w:w="4262" w:type="dxa"/>
            <w:shd w:val="clear" w:color="auto" w:fill="auto"/>
            <w:vAlign w:val="center"/>
          </w:tcPr>
          <w:p>
            <w:pPr>
              <w:pStyle w:val="179"/>
              <w:spacing w:line="300" w:lineRule="exact"/>
            </w:pPr>
            <w:r>
              <w:rPr>
                <w:rFonts w:hint="eastAsia" w:hAnsi="宋体" w:cs="宋体"/>
                <w:color w:val="000000"/>
                <w:szCs w:val="18"/>
              </w:rPr>
              <w:t>1.5％阿维菌素超低容量液剂</w:t>
            </w:r>
          </w:p>
        </w:tc>
        <w:tc>
          <w:tcPr>
            <w:tcW w:w="2693" w:type="dxa"/>
            <w:shd w:val="clear" w:color="auto" w:fill="auto"/>
            <w:vAlign w:val="center"/>
          </w:tcPr>
          <w:p>
            <w:pPr>
              <w:pStyle w:val="179"/>
              <w:spacing w:line="300" w:lineRule="exact"/>
            </w:pPr>
            <w:r>
              <w:rPr>
                <w:rFonts w:hint="eastAsia" w:hAnsi="宋体" w:cs="宋体"/>
                <w:color w:val="000000"/>
                <w:szCs w:val="18"/>
              </w:rPr>
              <w:t>60～80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continue"/>
            <w:shd w:val="clear" w:color="auto" w:fill="auto"/>
            <w:vAlign w:val="center"/>
          </w:tcPr>
          <w:p>
            <w:pPr>
              <w:pStyle w:val="179"/>
              <w:spacing w:line="300" w:lineRule="exact"/>
            </w:pPr>
          </w:p>
        </w:tc>
        <w:tc>
          <w:tcPr>
            <w:tcW w:w="4262" w:type="dxa"/>
            <w:shd w:val="clear" w:color="auto" w:fill="auto"/>
            <w:vAlign w:val="center"/>
          </w:tcPr>
          <w:p>
            <w:pPr>
              <w:pStyle w:val="179"/>
              <w:spacing w:line="300" w:lineRule="exact"/>
            </w:pPr>
            <w:r>
              <w:rPr>
                <w:rFonts w:hint="eastAsia" w:hAnsi="宋体" w:cs="宋体"/>
                <w:color w:val="000000"/>
                <w:szCs w:val="18"/>
              </w:rPr>
              <w:t>20％灭蝇·噻虫胺悬浮剂</w:t>
            </w:r>
          </w:p>
        </w:tc>
        <w:tc>
          <w:tcPr>
            <w:tcW w:w="2693" w:type="dxa"/>
            <w:shd w:val="clear" w:color="auto" w:fill="auto"/>
            <w:vAlign w:val="center"/>
          </w:tcPr>
          <w:p>
            <w:pPr>
              <w:pStyle w:val="179"/>
              <w:spacing w:line="300" w:lineRule="exact"/>
            </w:pPr>
            <w:r>
              <w:rPr>
                <w:rFonts w:hint="eastAsia" w:hAnsi="宋体" w:cs="宋体"/>
                <w:color w:val="000000"/>
                <w:szCs w:val="18"/>
              </w:rPr>
              <w:t>20～30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restart"/>
            <w:shd w:val="clear" w:color="auto" w:fill="auto"/>
            <w:vAlign w:val="center"/>
          </w:tcPr>
          <w:p>
            <w:pPr>
              <w:pStyle w:val="179"/>
              <w:spacing w:line="300" w:lineRule="exact"/>
            </w:pPr>
            <w:r>
              <w:rPr>
                <w:rFonts w:hint="eastAsia" w:hAnsi="宋体" w:cs="宋体"/>
                <w:color w:val="000000"/>
                <w:szCs w:val="18"/>
              </w:rPr>
              <w:t>豆荚螟等鳞翅目害虫</w:t>
            </w:r>
          </w:p>
        </w:tc>
        <w:tc>
          <w:tcPr>
            <w:tcW w:w="4262" w:type="dxa"/>
            <w:shd w:val="clear" w:color="auto" w:fill="auto"/>
            <w:vAlign w:val="center"/>
          </w:tcPr>
          <w:p>
            <w:pPr>
              <w:pStyle w:val="179"/>
              <w:spacing w:line="300" w:lineRule="exact"/>
            </w:pPr>
            <w:r>
              <w:rPr>
                <w:rFonts w:hint="eastAsia" w:hAnsi="宋体" w:cs="宋体"/>
                <w:color w:val="000000"/>
                <w:szCs w:val="18"/>
              </w:rPr>
              <w:t>5％氯虫苯甲酰胺超低容量液剂</w:t>
            </w:r>
          </w:p>
        </w:tc>
        <w:tc>
          <w:tcPr>
            <w:tcW w:w="2693" w:type="dxa"/>
            <w:shd w:val="clear" w:color="auto" w:fill="auto"/>
            <w:vAlign w:val="center"/>
          </w:tcPr>
          <w:p>
            <w:pPr>
              <w:pStyle w:val="179"/>
              <w:spacing w:line="300" w:lineRule="exact"/>
            </w:pPr>
            <w:r>
              <w:rPr>
                <w:rFonts w:hint="eastAsia" w:hAnsi="宋体" w:cs="宋体"/>
                <w:color w:val="000000"/>
                <w:szCs w:val="18"/>
              </w:rPr>
              <w:t>20～30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continue"/>
            <w:shd w:val="clear" w:color="auto" w:fill="auto"/>
            <w:vAlign w:val="center"/>
          </w:tcPr>
          <w:p>
            <w:pPr>
              <w:pStyle w:val="179"/>
              <w:spacing w:line="300" w:lineRule="exact"/>
            </w:pPr>
          </w:p>
        </w:tc>
        <w:tc>
          <w:tcPr>
            <w:tcW w:w="4262" w:type="dxa"/>
            <w:shd w:val="clear" w:color="auto" w:fill="auto"/>
            <w:vAlign w:val="center"/>
          </w:tcPr>
          <w:p>
            <w:pPr>
              <w:pStyle w:val="179"/>
              <w:spacing w:line="300" w:lineRule="exact"/>
            </w:pPr>
            <w:r>
              <w:rPr>
                <w:rFonts w:hint="eastAsia" w:hAnsi="宋体" w:cs="宋体"/>
                <w:color w:val="000000"/>
                <w:szCs w:val="18"/>
              </w:rPr>
              <w:t>6%甲维•茚虫威超低容量液剂</w:t>
            </w:r>
          </w:p>
        </w:tc>
        <w:tc>
          <w:tcPr>
            <w:tcW w:w="2693" w:type="dxa"/>
            <w:shd w:val="clear" w:color="auto" w:fill="auto"/>
            <w:vAlign w:val="center"/>
          </w:tcPr>
          <w:p>
            <w:pPr>
              <w:pStyle w:val="179"/>
              <w:spacing w:line="300" w:lineRule="exact"/>
            </w:pPr>
            <w:r>
              <w:rPr>
                <w:rFonts w:hint="eastAsia" w:hAnsi="宋体" w:cs="宋体"/>
                <w:color w:val="000000"/>
                <w:szCs w:val="18"/>
              </w:rPr>
              <w:t>30～50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continue"/>
            <w:shd w:val="clear" w:color="auto" w:fill="auto"/>
            <w:vAlign w:val="center"/>
          </w:tcPr>
          <w:p>
            <w:pPr>
              <w:pStyle w:val="179"/>
              <w:spacing w:line="300" w:lineRule="exact"/>
            </w:pPr>
          </w:p>
        </w:tc>
        <w:tc>
          <w:tcPr>
            <w:tcW w:w="4262" w:type="dxa"/>
            <w:shd w:val="clear" w:color="auto" w:fill="auto"/>
            <w:vAlign w:val="center"/>
          </w:tcPr>
          <w:p>
            <w:pPr>
              <w:pStyle w:val="179"/>
              <w:spacing w:line="300" w:lineRule="exact"/>
            </w:pPr>
            <w:r>
              <w:rPr>
                <w:rFonts w:hint="eastAsia" w:hAnsi="宋体" w:cs="宋体"/>
                <w:color w:val="000000"/>
                <w:szCs w:val="18"/>
              </w:rPr>
              <w:t>5％茚虫威悬浮剂</w:t>
            </w:r>
          </w:p>
        </w:tc>
        <w:tc>
          <w:tcPr>
            <w:tcW w:w="2693" w:type="dxa"/>
            <w:shd w:val="clear" w:color="auto" w:fill="auto"/>
            <w:vAlign w:val="center"/>
          </w:tcPr>
          <w:p>
            <w:pPr>
              <w:pStyle w:val="179"/>
              <w:spacing w:line="300" w:lineRule="exact"/>
            </w:pPr>
            <w:r>
              <w:rPr>
                <w:rFonts w:hint="eastAsia" w:hAnsi="宋体" w:cs="宋体"/>
                <w:color w:val="000000"/>
                <w:szCs w:val="18"/>
              </w:rPr>
              <w:t>20～30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continue"/>
            <w:shd w:val="clear" w:color="auto" w:fill="auto"/>
            <w:vAlign w:val="center"/>
          </w:tcPr>
          <w:p>
            <w:pPr>
              <w:pStyle w:val="179"/>
              <w:spacing w:line="300" w:lineRule="exact"/>
            </w:pPr>
          </w:p>
        </w:tc>
        <w:tc>
          <w:tcPr>
            <w:tcW w:w="4262" w:type="dxa"/>
            <w:shd w:val="clear" w:color="auto" w:fill="auto"/>
            <w:vAlign w:val="center"/>
          </w:tcPr>
          <w:p>
            <w:pPr>
              <w:pStyle w:val="179"/>
              <w:spacing w:line="300" w:lineRule="exact"/>
            </w:pPr>
            <w:r>
              <w:rPr>
                <w:rFonts w:hint="eastAsia" w:hAnsi="宋体" w:cs="宋体"/>
                <w:color w:val="000000"/>
                <w:szCs w:val="18"/>
              </w:rPr>
              <w:t>1％甲维盐超低容量液剂</w:t>
            </w:r>
          </w:p>
        </w:tc>
        <w:tc>
          <w:tcPr>
            <w:tcW w:w="2693" w:type="dxa"/>
            <w:shd w:val="clear" w:color="auto" w:fill="auto"/>
            <w:vAlign w:val="center"/>
          </w:tcPr>
          <w:p>
            <w:pPr>
              <w:pStyle w:val="179"/>
              <w:spacing w:line="300" w:lineRule="exact"/>
            </w:pPr>
            <w:r>
              <w:rPr>
                <w:rFonts w:hint="eastAsia" w:hAnsi="宋体" w:cs="宋体"/>
                <w:color w:val="000000"/>
                <w:szCs w:val="18"/>
              </w:rPr>
              <w:t>50～80</w:t>
            </w:r>
          </w:p>
        </w:tc>
      </w:tr>
    </w:tbl>
    <w:p>
      <w:pPr>
        <w:pStyle w:val="106"/>
        <w:spacing w:before="120" w:after="120"/>
        <w:rPr>
          <w:color w:val="auto"/>
        </w:rPr>
      </w:pPr>
      <w:r>
        <w:rPr>
          <w:rFonts w:hint="eastAsia"/>
        </w:rPr>
        <w:t>农药施用</w:t>
      </w:r>
      <w:r>
        <w:rPr>
          <w:rFonts w:hint="eastAsia"/>
          <w:color w:val="auto"/>
        </w:rPr>
        <w:t>设备选择</w:t>
      </w:r>
    </w:p>
    <w:p>
      <w:pPr>
        <w:pStyle w:val="166"/>
        <w:ind w:left="0"/>
        <w:rPr>
          <w:color w:val="auto"/>
        </w:rPr>
      </w:pPr>
      <w:r>
        <w:rPr>
          <w:rFonts w:hint="eastAsia"/>
          <w:color w:val="auto"/>
        </w:rPr>
        <w:t>用无人机（单旋翼或多旋翼）进行喷雾，豇豆的株高≤1m时，每667m</w:t>
      </w:r>
      <w:r>
        <w:rPr>
          <w:rFonts w:hint="eastAsia"/>
          <w:color w:val="auto"/>
          <w:vertAlign w:val="superscript"/>
        </w:rPr>
        <w:t>2</w:t>
      </w:r>
      <w:r>
        <w:rPr>
          <w:rFonts w:hint="eastAsia"/>
          <w:color w:val="auto"/>
        </w:rPr>
        <w:t>施用2L药水；豇豆的株高＞1m时，每667m</w:t>
      </w:r>
      <w:r>
        <w:rPr>
          <w:rFonts w:hint="eastAsia"/>
          <w:color w:val="auto"/>
          <w:vertAlign w:val="superscript"/>
        </w:rPr>
        <w:t>2</w:t>
      </w:r>
      <w:r>
        <w:rPr>
          <w:rFonts w:hint="eastAsia"/>
          <w:color w:val="auto"/>
        </w:rPr>
        <w:t>施用2L～4L药水。作业方式为顺行顺垄飞行。</w:t>
      </w:r>
    </w:p>
    <w:p>
      <w:pPr>
        <w:pStyle w:val="166"/>
        <w:ind w:left="0"/>
        <w:rPr>
          <w:color w:val="auto"/>
        </w:rPr>
      </w:pPr>
      <w:r>
        <w:rPr>
          <w:rFonts w:hint="eastAsia"/>
          <w:color w:val="auto"/>
        </w:rPr>
        <w:t>用背负式低容量喷雾器进行喷雾，用药水量为5L/667m</w:t>
      </w:r>
      <w:r>
        <w:rPr>
          <w:rFonts w:hint="eastAsia"/>
          <w:color w:val="auto"/>
          <w:vertAlign w:val="superscript"/>
        </w:rPr>
        <w:t>2</w:t>
      </w:r>
      <w:r>
        <w:rPr>
          <w:rFonts w:hint="eastAsia"/>
          <w:color w:val="auto"/>
        </w:rPr>
        <w:t>～10L/667m</w:t>
      </w:r>
      <w:r>
        <w:rPr>
          <w:rFonts w:hint="eastAsia"/>
          <w:color w:val="auto"/>
          <w:vertAlign w:val="superscript"/>
        </w:rPr>
        <w:t>2</w:t>
      </w:r>
      <w:r>
        <w:rPr>
          <w:rFonts w:hint="eastAsia" w:hAnsi="宋体" w:cs="宋体"/>
          <w:color w:val="auto"/>
          <w:szCs w:val="21"/>
        </w:rPr>
        <w:t>。</w:t>
      </w:r>
    </w:p>
    <w:p>
      <w:pPr>
        <w:pStyle w:val="105"/>
        <w:spacing w:before="240" w:after="240"/>
        <w:rPr>
          <w:color w:val="auto"/>
        </w:rPr>
      </w:pPr>
      <w:r>
        <w:rPr>
          <w:rFonts w:hint="eastAsia"/>
          <w:color w:val="auto"/>
        </w:rPr>
        <w:t>建档与管理</w:t>
      </w:r>
    </w:p>
    <w:p>
      <w:pPr>
        <w:pStyle w:val="106"/>
        <w:spacing w:before="120" w:after="120"/>
        <w:rPr>
          <w:color w:val="auto"/>
        </w:rPr>
      </w:pPr>
      <w:r>
        <w:rPr>
          <w:rFonts w:hint="eastAsia"/>
          <w:color w:val="auto"/>
        </w:rPr>
        <w:t>建档</w:t>
      </w:r>
    </w:p>
    <w:p>
      <w:pPr>
        <w:pStyle w:val="57"/>
        <w:ind w:firstLine="420"/>
        <w:rPr>
          <w:color w:val="auto"/>
        </w:rPr>
      </w:pPr>
      <w:r>
        <w:rPr>
          <w:rFonts w:hint="eastAsia"/>
          <w:color w:val="auto"/>
        </w:rPr>
        <w:t>豇豆的肥料和农药的施用时间、步骤、用量、施用方法等，应建立档案，记录相关信息。</w:t>
      </w:r>
    </w:p>
    <w:p>
      <w:pPr>
        <w:pStyle w:val="106"/>
        <w:spacing w:before="120" w:after="120"/>
        <w:rPr>
          <w:color w:val="auto"/>
        </w:rPr>
      </w:pPr>
      <w:r>
        <w:rPr>
          <w:rFonts w:hint="eastAsia"/>
          <w:color w:val="auto"/>
        </w:rPr>
        <w:t>档案管理</w:t>
      </w:r>
    </w:p>
    <w:p>
      <w:pPr>
        <w:pStyle w:val="57"/>
        <w:ind w:firstLine="420"/>
        <w:rPr>
          <w:color w:val="auto"/>
        </w:rPr>
      </w:pPr>
      <w:r>
        <w:rPr>
          <w:rFonts w:hint="eastAsia"/>
          <w:color w:val="auto"/>
        </w:rPr>
        <w:t>档案应有固定场所、文件盒存放，由专人管理。</w:t>
      </w:r>
    </w:p>
    <w:bookmarkEnd w:id="18"/>
    <w:p>
      <w:pPr>
        <w:pStyle w:val="57"/>
        <w:spacing w:beforeLines="50"/>
        <w:ind w:firstLine="0" w:firstLineChars="0"/>
        <w:jc w:val="center"/>
      </w:pPr>
      <w:r>
        <w:pict>
          <v:rect id="_x0000_i1025" o:spt="1" style="height:1pt;width:116.95pt;" fillcolor="#000000" filled="t" stroked="f" coordsize="21600,21600" o:hr="t" o:hrstd="t" o:hrnoshade="t" o:hrpct="250" o:hralign="center">
            <v:path/>
            <v:fill on="t" focussize="0,0"/>
            <v:stroke on="f"/>
            <v:imagedata o:title=""/>
            <o:lock v:ext="edit"/>
            <w10:wrap type="none"/>
            <w10:anchorlock/>
          </v:rect>
        </w:pict>
      </w:r>
    </w:p>
    <w:sectPr>
      <w:headerReference r:id="rId15" w:type="default"/>
      <w:footerReference r:id="rId17" w:type="default"/>
      <w:headerReference r:id="rId16" w:type="even"/>
      <w:footerReference r:id="rId18" w:type="even"/>
      <w:pgSz w:w="11906" w:h="16838"/>
      <w:pgMar w:top="567"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0000000000000000000"/>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T/GXAF0002—2021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T/GXAF0002—2021</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T/GXAF0002—2021</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T/GXAF0002—2021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pStyle w:val="234"/>
      <w:suff w:val="nothing"/>
      <w:lvlText w:val="%1.%2　"/>
      <w:lvlJc w:val="left"/>
      <w:pPr>
        <w:ind w:left="0" w:firstLine="0"/>
      </w:pPr>
    </w:lvl>
    <w:lvl w:ilvl="2" w:tentative="0">
      <w:start w:val="1"/>
      <w:numFmt w:val="decimal"/>
      <w:pStyle w:val="233"/>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283"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dit="forms" w:enforcement="1"/>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09AF"/>
    <w:rsid w:val="0000040A"/>
    <w:rsid w:val="00000672"/>
    <w:rsid w:val="00000A94"/>
    <w:rsid w:val="00001972"/>
    <w:rsid w:val="00001D9A"/>
    <w:rsid w:val="0000290E"/>
    <w:rsid w:val="00007B3A"/>
    <w:rsid w:val="000107E0"/>
    <w:rsid w:val="00011FDE"/>
    <w:rsid w:val="00012FFD"/>
    <w:rsid w:val="00014162"/>
    <w:rsid w:val="00014340"/>
    <w:rsid w:val="00016A9C"/>
    <w:rsid w:val="00021008"/>
    <w:rsid w:val="00022184"/>
    <w:rsid w:val="00022762"/>
    <w:rsid w:val="000238E0"/>
    <w:rsid w:val="000249DB"/>
    <w:rsid w:val="0002595E"/>
    <w:rsid w:val="000303C3"/>
    <w:rsid w:val="00030BF7"/>
    <w:rsid w:val="000331D3"/>
    <w:rsid w:val="000346A5"/>
    <w:rsid w:val="000359C3"/>
    <w:rsid w:val="00035A7D"/>
    <w:rsid w:val="000365ED"/>
    <w:rsid w:val="0004249A"/>
    <w:rsid w:val="00043282"/>
    <w:rsid w:val="00044286"/>
    <w:rsid w:val="000464EA"/>
    <w:rsid w:val="00047F28"/>
    <w:rsid w:val="000503AA"/>
    <w:rsid w:val="000506A1"/>
    <w:rsid w:val="00050C57"/>
    <w:rsid w:val="000515DD"/>
    <w:rsid w:val="0005265A"/>
    <w:rsid w:val="00052C0B"/>
    <w:rsid w:val="000539DD"/>
    <w:rsid w:val="00053BD3"/>
    <w:rsid w:val="000556ED"/>
    <w:rsid w:val="00055FE2"/>
    <w:rsid w:val="0005616F"/>
    <w:rsid w:val="00056F90"/>
    <w:rsid w:val="00060C2E"/>
    <w:rsid w:val="00061033"/>
    <w:rsid w:val="000615DB"/>
    <w:rsid w:val="000619E9"/>
    <w:rsid w:val="000622D4"/>
    <w:rsid w:val="0006357D"/>
    <w:rsid w:val="00063C52"/>
    <w:rsid w:val="000672AD"/>
    <w:rsid w:val="00067F1E"/>
    <w:rsid w:val="00071CC0"/>
    <w:rsid w:val="00071CFC"/>
    <w:rsid w:val="00073C8C"/>
    <w:rsid w:val="00075016"/>
    <w:rsid w:val="00077B64"/>
    <w:rsid w:val="00080A1C"/>
    <w:rsid w:val="00082317"/>
    <w:rsid w:val="00083D2C"/>
    <w:rsid w:val="00084EF2"/>
    <w:rsid w:val="00086AA1"/>
    <w:rsid w:val="00087A77"/>
    <w:rsid w:val="000905DD"/>
    <w:rsid w:val="00090CA6"/>
    <w:rsid w:val="00092B8A"/>
    <w:rsid w:val="00092FB0"/>
    <w:rsid w:val="000934C5"/>
    <w:rsid w:val="00093D25"/>
    <w:rsid w:val="00093DAB"/>
    <w:rsid w:val="00094D73"/>
    <w:rsid w:val="00096D63"/>
    <w:rsid w:val="000A0B60"/>
    <w:rsid w:val="000A0EB8"/>
    <w:rsid w:val="000A19FC"/>
    <w:rsid w:val="000A296B"/>
    <w:rsid w:val="000A7311"/>
    <w:rsid w:val="000B011F"/>
    <w:rsid w:val="000B060F"/>
    <w:rsid w:val="000B1592"/>
    <w:rsid w:val="000B1FF2"/>
    <w:rsid w:val="000B3CDA"/>
    <w:rsid w:val="000B61F7"/>
    <w:rsid w:val="000B6A0B"/>
    <w:rsid w:val="000C0F6C"/>
    <w:rsid w:val="000C11DB"/>
    <w:rsid w:val="000C1492"/>
    <w:rsid w:val="000C2F6C"/>
    <w:rsid w:val="000C2FBD"/>
    <w:rsid w:val="000C3EEF"/>
    <w:rsid w:val="000C4B41"/>
    <w:rsid w:val="000C57D6"/>
    <w:rsid w:val="000C6362"/>
    <w:rsid w:val="000C7666"/>
    <w:rsid w:val="000D0A9C"/>
    <w:rsid w:val="000D1795"/>
    <w:rsid w:val="000D329A"/>
    <w:rsid w:val="000D442A"/>
    <w:rsid w:val="000D4B9C"/>
    <w:rsid w:val="000D4EB6"/>
    <w:rsid w:val="000D753B"/>
    <w:rsid w:val="000E4C9E"/>
    <w:rsid w:val="000E4EFE"/>
    <w:rsid w:val="000E6FD7"/>
    <w:rsid w:val="000E71FE"/>
    <w:rsid w:val="000F06E1"/>
    <w:rsid w:val="000F0E3C"/>
    <w:rsid w:val="000F19D5"/>
    <w:rsid w:val="000F4050"/>
    <w:rsid w:val="000F4AEA"/>
    <w:rsid w:val="000F67E9"/>
    <w:rsid w:val="0010180F"/>
    <w:rsid w:val="00101ECD"/>
    <w:rsid w:val="00104926"/>
    <w:rsid w:val="00104E53"/>
    <w:rsid w:val="00113B1E"/>
    <w:rsid w:val="00114EE7"/>
    <w:rsid w:val="001169AB"/>
    <w:rsid w:val="0011711C"/>
    <w:rsid w:val="00124E4F"/>
    <w:rsid w:val="001260B7"/>
    <w:rsid w:val="001265CB"/>
    <w:rsid w:val="00130590"/>
    <w:rsid w:val="001321C6"/>
    <w:rsid w:val="001325C4"/>
    <w:rsid w:val="00133010"/>
    <w:rsid w:val="001338EE"/>
    <w:rsid w:val="00133AAE"/>
    <w:rsid w:val="00135323"/>
    <w:rsid w:val="001356C4"/>
    <w:rsid w:val="00137565"/>
    <w:rsid w:val="00140554"/>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3DC"/>
    <w:rsid w:val="0016770A"/>
    <w:rsid w:val="00170804"/>
    <w:rsid w:val="001708E9"/>
    <w:rsid w:val="0017340B"/>
    <w:rsid w:val="00173FB1"/>
    <w:rsid w:val="00176DFD"/>
    <w:rsid w:val="001852C9"/>
    <w:rsid w:val="001865AB"/>
    <w:rsid w:val="001876C0"/>
    <w:rsid w:val="00187A0B"/>
    <w:rsid w:val="00190087"/>
    <w:rsid w:val="001913C4"/>
    <w:rsid w:val="0019348F"/>
    <w:rsid w:val="001937F7"/>
    <w:rsid w:val="00193A07"/>
    <w:rsid w:val="00194C95"/>
    <w:rsid w:val="00195C34"/>
    <w:rsid w:val="001960C3"/>
    <w:rsid w:val="00196EF5"/>
    <w:rsid w:val="001A12D0"/>
    <w:rsid w:val="001A1A53"/>
    <w:rsid w:val="001A234A"/>
    <w:rsid w:val="001A4CF3"/>
    <w:rsid w:val="001A6696"/>
    <w:rsid w:val="001A7CB7"/>
    <w:rsid w:val="001B06E8"/>
    <w:rsid w:val="001B187F"/>
    <w:rsid w:val="001B683D"/>
    <w:rsid w:val="001B71D0"/>
    <w:rsid w:val="001B71EE"/>
    <w:rsid w:val="001C04A8"/>
    <w:rsid w:val="001C2C03"/>
    <w:rsid w:val="001C42F7"/>
    <w:rsid w:val="001C49E5"/>
    <w:rsid w:val="001C5A3B"/>
    <w:rsid w:val="001C680C"/>
    <w:rsid w:val="001C7FEA"/>
    <w:rsid w:val="001D0499"/>
    <w:rsid w:val="001D0BBE"/>
    <w:rsid w:val="001D0ED4"/>
    <w:rsid w:val="001D1997"/>
    <w:rsid w:val="001D212F"/>
    <w:rsid w:val="001D27FC"/>
    <w:rsid w:val="001D29D7"/>
    <w:rsid w:val="001D2DE7"/>
    <w:rsid w:val="001D411C"/>
    <w:rsid w:val="001D707F"/>
    <w:rsid w:val="001E1B6A"/>
    <w:rsid w:val="001E2484"/>
    <w:rsid w:val="001E3CC4"/>
    <w:rsid w:val="001E3DE6"/>
    <w:rsid w:val="001E4882"/>
    <w:rsid w:val="001E73AB"/>
    <w:rsid w:val="001F092D"/>
    <w:rsid w:val="001F143A"/>
    <w:rsid w:val="001F1605"/>
    <w:rsid w:val="001F2508"/>
    <w:rsid w:val="001F4816"/>
    <w:rsid w:val="001F69B4"/>
    <w:rsid w:val="001F77C7"/>
    <w:rsid w:val="00200183"/>
    <w:rsid w:val="00200333"/>
    <w:rsid w:val="0020107D"/>
    <w:rsid w:val="002011C9"/>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1703"/>
    <w:rsid w:val="0024302A"/>
    <w:rsid w:val="00243540"/>
    <w:rsid w:val="0024497B"/>
    <w:rsid w:val="0024515B"/>
    <w:rsid w:val="00246021"/>
    <w:rsid w:val="0024666E"/>
    <w:rsid w:val="00247F52"/>
    <w:rsid w:val="00250B25"/>
    <w:rsid w:val="00250BBE"/>
    <w:rsid w:val="002515C2"/>
    <w:rsid w:val="0025194F"/>
    <w:rsid w:val="00252741"/>
    <w:rsid w:val="002552D2"/>
    <w:rsid w:val="00256F9A"/>
    <w:rsid w:val="0026148A"/>
    <w:rsid w:val="00262696"/>
    <w:rsid w:val="00263230"/>
    <w:rsid w:val="00263D25"/>
    <w:rsid w:val="002643C3"/>
    <w:rsid w:val="00264A0C"/>
    <w:rsid w:val="002658C9"/>
    <w:rsid w:val="00266EEB"/>
    <w:rsid w:val="00267EF4"/>
    <w:rsid w:val="00270CB8"/>
    <w:rsid w:val="00272B08"/>
    <w:rsid w:val="00274A4C"/>
    <w:rsid w:val="00281BB8"/>
    <w:rsid w:val="00281E9E"/>
    <w:rsid w:val="00282405"/>
    <w:rsid w:val="00285170"/>
    <w:rsid w:val="00285361"/>
    <w:rsid w:val="00292D60"/>
    <w:rsid w:val="00293319"/>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201"/>
    <w:rsid w:val="002C35CD"/>
    <w:rsid w:val="002C3F07"/>
    <w:rsid w:val="002C405A"/>
    <w:rsid w:val="002C410B"/>
    <w:rsid w:val="002C5278"/>
    <w:rsid w:val="002C7EBB"/>
    <w:rsid w:val="002D06C1"/>
    <w:rsid w:val="002D0852"/>
    <w:rsid w:val="002D42B5"/>
    <w:rsid w:val="002D4F1A"/>
    <w:rsid w:val="002D6EC6"/>
    <w:rsid w:val="002D79AC"/>
    <w:rsid w:val="002E039D"/>
    <w:rsid w:val="002E069D"/>
    <w:rsid w:val="002E28E6"/>
    <w:rsid w:val="002E2B7A"/>
    <w:rsid w:val="002E4D5A"/>
    <w:rsid w:val="002E6326"/>
    <w:rsid w:val="002F30E0"/>
    <w:rsid w:val="002F35E4"/>
    <w:rsid w:val="002F3730"/>
    <w:rsid w:val="002F38E1"/>
    <w:rsid w:val="002F4FFF"/>
    <w:rsid w:val="002F7AF6"/>
    <w:rsid w:val="00300E63"/>
    <w:rsid w:val="0030122B"/>
    <w:rsid w:val="0030260B"/>
    <w:rsid w:val="00302F5F"/>
    <w:rsid w:val="0030441D"/>
    <w:rsid w:val="00306063"/>
    <w:rsid w:val="00313B85"/>
    <w:rsid w:val="003164D1"/>
    <w:rsid w:val="00317988"/>
    <w:rsid w:val="003221B4"/>
    <w:rsid w:val="0032258D"/>
    <w:rsid w:val="00322E62"/>
    <w:rsid w:val="00324D13"/>
    <w:rsid w:val="00324EDD"/>
    <w:rsid w:val="003331E4"/>
    <w:rsid w:val="00336236"/>
    <w:rsid w:val="00336C64"/>
    <w:rsid w:val="00337162"/>
    <w:rsid w:val="0034194F"/>
    <w:rsid w:val="00343F9E"/>
    <w:rsid w:val="00344605"/>
    <w:rsid w:val="003474AA"/>
    <w:rsid w:val="00350D1D"/>
    <w:rsid w:val="00352C83"/>
    <w:rsid w:val="00352F1A"/>
    <w:rsid w:val="00353BAD"/>
    <w:rsid w:val="00354D9E"/>
    <w:rsid w:val="00360FEF"/>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70F"/>
    <w:rsid w:val="003872FC"/>
    <w:rsid w:val="00387ADC"/>
    <w:rsid w:val="00390020"/>
    <w:rsid w:val="003903D6"/>
    <w:rsid w:val="00390EE6"/>
    <w:rsid w:val="0039118F"/>
    <w:rsid w:val="00391492"/>
    <w:rsid w:val="0039165E"/>
    <w:rsid w:val="00392AD7"/>
    <w:rsid w:val="003938D9"/>
    <w:rsid w:val="00394376"/>
    <w:rsid w:val="003943FF"/>
    <w:rsid w:val="003974EB"/>
    <w:rsid w:val="00397CC5"/>
    <w:rsid w:val="003A1102"/>
    <w:rsid w:val="003A1582"/>
    <w:rsid w:val="003A3D9C"/>
    <w:rsid w:val="003A4077"/>
    <w:rsid w:val="003A4AA7"/>
    <w:rsid w:val="003A5CAC"/>
    <w:rsid w:val="003A7AFE"/>
    <w:rsid w:val="003B09AD"/>
    <w:rsid w:val="003B1F18"/>
    <w:rsid w:val="003B5BF0"/>
    <w:rsid w:val="003B60BF"/>
    <w:rsid w:val="003B6BE3"/>
    <w:rsid w:val="003B7B70"/>
    <w:rsid w:val="003C010C"/>
    <w:rsid w:val="003C0A6C"/>
    <w:rsid w:val="003C14F8"/>
    <w:rsid w:val="003C5A43"/>
    <w:rsid w:val="003D0519"/>
    <w:rsid w:val="003D0FF6"/>
    <w:rsid w:val="003D262C"/>
    <w:rsid w:val="003D4148"/>
    <w:rsid w:val="003D6D61"/>
    <w:rsid w:val="003E091D"/>
    <w:rsid w:val="003E1C53"/>
    <w:rsid w:val="003E24D8"/>
    <w:rsid w:val="003E2A69"/>
    <w:rsid w:val="003E2D49"/>
    <w:rsid w:val="003E2FD4"/>
    <w:rsid w:val="003E37A4"/>
    <w:rsid w:val="003E3CA4"/>
    <w:rsid w:val="003E49F6"/>
    <w:rsid w:val="003E4D3D"/>
    <w:rsid w:val="003E660F"/>
    <w:rsid w:val="003F0841"/>
    <w:rsid w:val="003F213E"/>
    <w:rsid w:val="003F23D3"/>
    <w:rsid w:val="003F3F08"/>
    <w:rsid w:val="003F49F1"/>
    <w:rsid w:val="003F6272"/>
    <w:rsid w:val="003F7F65"/>
    <w:rsid w:val="00400E72"/>
    <w:rsid w:val="00401400"/>
    <w:rsid w:val="00404869"/>
    <w:rsid w:val="00405884"/>
    <w:rsid w:val="00407D39"/>
    <w:rsid w:val="004130C6"/>
    <w:rsid w:val="0041477A"/>
    <w:rsid w:val="00414FF9"/>
    <w:rsid w:val="004167A3"/>
    <w:rsid w:val="00423117"/>
    <w:rsid w:val="00432DAA"/>
    <w:rsid w:val="00434305"/>
    <w:rsid w:val="00435DF7"/>
    <w:rsid w:val="0044083F"/>
    <w:rsid w:val="00441AE7"/>
    <w:rsid w:val="00445574"/>
    <w:rsid w:val="004467FB"/>
    <w:rsid w:val="004524C7"/>
    <w:rsid w:val="00452D6B"/>
    <w:rsid w:val="00454484"/>
    <w:rsid w:val="0045517B"/>
    <w:rsid w:val="004555E3"/>
    <w:rsid w:val="00463B77"/>
    <w:rsid w:val="00463C7B"/>
    <w:rsid w:val="004644A6"/>
    <w:rsid w:val="0046488D"/>
    <w:rsid w:val="004659BD"/>
    <w:rsid w:val="00470775"/>
    <w:rsid w:val="004746B1"/>
    <w:rsid w:val="0047583F"/>
    <w:rsid w:val="00475DE8"/>
    <w:rsid w:val="00475F9F"/>
    <w:rsid w:val="004809EA"/>
    <w:rsid w:val="00481C44"/>
    <w:rsid w:val="00484936"/>
    <w:rsid w:val="00485C89"/>
    <w:rsid w:val="00486BE3"/>
    <w:rsid w:val="004905E4"/>
    <w:rsid w:val="00490A89"/>
    <w:rsid w:val="00490AB4"/>
    <w:rsid w:val="00491E00"/>
    <w:rsid w:val="00492F02"/>
    <w:rsid w:val="004939AE"/>
    <w:rsid w:val="004A12DF"/>
    <w:rsid w:val="004A1BA8"/>
    <w:rsid w:val="004A4B57"/>
    <w:rsid w:val="004A63FA"/>
    <w:rsid w:val="004A6A3D"/>
    <w:rsid w:val="004B0272"/>
    <w:rsid w:val="004B2701"/>
    <w:rsid w:val="004B2E1B"/>
    <w:rsid w:val="004B37EF"/>
    <w:rsid w:val="004B3AA8"/>
    <w:rsid w:val="004B3E93"/>
    <w:rsid w:val="004B77BD"/>
    <w:rsid w:val="004C1FBC"/>
    <w:rsid w:val="004C25A2"/>
    <w:rsid w:val="004C3F1D"/>
    <w:rsid w:val="004C458D"/>
    <w:rsid w:val="004C7556"/>
    <w:rsid w:val="004C7E8B"/>
    <w:rsid w:val="004C7E9D"/>
    <w:rsid w:val="004C7F67"/>
    <w:rsid w:val="004D076D"/>
    <w:rsid w:val="004D0EF1"/>
    <w:rsid w:val="004D2253"/>
    <w:rsid w:val="004D4406"/>
    <w:rsid w:val="004D7B8D"/>
    <w:rsid w:val="004D7C42"/>
    <w:rsid w:val="004E0465"/>
    <w:rsid w:val="004E127B"/>
    <w:rsid w:val="004E1C0A"/>
    <w:rsid w:val="004E30C5"/>
    <w:rsid w:val="004E4AA5"/>
    <w:rsid w:val="004E4AEE"/>
    <w:rsid w:val="004E59E3"/>
    <w:rsid w:val="004E67C0"/>
    <w:rsid w:val="004E7645"/>
    <w:rsid w:val="004F391A"/>
    <w:rsid w:val="004F3CFB"/>
    <w:rsid w:val="004F6456"/>
    <w:rsid w:val="004F696E"/>
    <w:rsid w:val="004F6C71"/>
    <w:rsid w:val="00501139"/>
    <w:rsid w:val="00502EED"/>
    <w:rsid w:val="0050363E"/>
    <w:rsid w:val="005039BC"/>
    <w:rsid w:val="005043BB"/>
    <w:rsid w:val="00504A3D"/>
    <w:rsid w:val="00505767"/>
    <w:rsid w:val="005073F0"/>
    <w:rsid w:val="00510A7B"/>
    <w:rsid w:val="00512F6E"/>
    <w:rsid w:val="00513038"/>
    <w:rsid w:val="00514174"/>
    <w:rsid w:val="0051543F"/>
    <w:rsid w:val="00516088"/>
    <w:rsid w:val="00516B0B"/>
    <w:rsid w:val="0052121A"/>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3BE"/>
    <w:rsid w:val="005514F7"/>
    <w:rsid w:val="00551F6F"/>
    <w:rsid w:val="00553020"/>
    <w:rsid w:val="00553731"/>
    <w:rsid w:val="00555002"/>
    <w:rsid w:val="00555044"/>
    <w:rsid w:val="00561475"/>
    <w:rsid w:val="00562308"/>
    <w:rsid w:val="0056487B"/>
    <w:rsid w:val="00564FB9"/>
    <w:rsid w:val="00573D9E"/>
    <w:rsid w:val="005801E3"/>
    <w:rsid w:val="00581802"/>
    <w:rsid w:val="0058210F"/>
    <w:rsid w:val="005836A8"/>
    <w:rsid w:val="0058409C"/>
    <w:rsid w:val="00584262"/>
    <w:rsid w:val="00586630"/>
    <w:rsid w:val="00587ADD"/>
    <w:rsid w:val="00593A49"/>
    <w:rsid w:val="00596160"/>
    <w:rsid w:val="005966E2"/>
    <w:rsid w:val="00597007"/>
    <w:rsid w:val="005A0966"/>
    <w:rsid w:val="005A11B7"/>
    <w:rsid w:val="005A13F2"/>
    <w:rsid w:val="005A260B"/>
    <w:rsid w:val="005A4A1B"/>
    <w:rsid w:val="005A63A2"/>
    <w:rsid w:val="005A7830"/>
    <w:rsid w:val="005A7CA2"/>
    <w:rsid w:val="005A7FCE"/>
    <w:rsid w:val="005B0F3F"/>
    <w:rsid w:val="005B191C"/>
    <w:rsid w:val="005B1AB5"/>
    <w:rsid w:val="005B2D6E"/>
    <w:rsid w:val="005B47A2"/>
    <w:rsid w:val="005B4903"/>
    <w:rsid w:val="005B51CE"/>
    <w:rsid w:val="005B5885"/>
    <w:rsid w:val="005B5CD7"/>
    <w:rsid w:val="005B6CF6"/>
    <w:rsid w:val="005B7422"/>
    <w:rsid w:val="005B77C9"/>
    <w:rsid w:val="005C29B8"/>
    <w:rsid w:val="005C2CB1"/>
    <w:rsid w:val="005C5F21"/>
    <w:rsid w:val="005C7156"/>
    <w:rsid w:val="005D0C75"/>
    <w:rsid w:val="005D4171"/>
    <w:rsid w:val="005D65DE"/>
    <w:rsid w:val="005D6A95"/>
    <w:rsid w:val="005D6B2C"/>
    <w:rsid w:val="005D6D9C"/>
    <w:rsid w:val="005E2335"/>
    <w:rsid w:val="005E2BCE"/>
    <w:rsid w:val="005E34CA"/>
    <w:rsid w:val="005E3C18"/>
    <w:rsid w:val="005E4250"/>
    <w:rsid w:val="005E6812"/>
    <w:rsid w:val="005E7881"/>
    <w:rsid w:val="005E78E0"/>
    <w:rsid w:val="005F0D9C"/>
    <w:rsid w:val="005F284E"/>
    <w:rsid w:val="005F34E4"/>
    <w:rsid w:val="005F5B53"/>
    <w:rsid w:val="006015CE"/>
    <w:rsid w:val="00604784"/>
    <w:rsid w:val="00604D57"/>
    <w:rsid w:val="00606419"/>
    <w:rsid w:val="00607D29"/>
    <w:rsid w:val="00612952"/>
    <w:rsid w:val="00614CC1"/>
    <w:rsid w:val="00615A9D"/>
    <w:rsid w:val="00617387"/>
    <w:rsid w:val="006205D6"/>
    <w:rsid w:val="006252D8"/>
    <w:rsid w:val="006259BC"/>
    <w:rsid w:val="00625E51"/>
    <w:rsid w:val="0062636B"/>
    <w:rsid w:val="006277C8"/>
    <w:rsid w:val="00632182"/>
    <w:rsid w:val="00632AE0"/>
    <w:rsid w:val="00633C17"/>
    <w:rsid w:val="00634D9E"/>
    <w:rsid w:val="00636E3E"/>
    <w:rsid w:val="006379F7"/>
    <w:rsid w:val="00637E4D"/>
    <w:rsid w:val="00640620"/>
    <w:rsid w:val="00641A1F"/>
    <w:rsid w:val="00645904"/>
    <w:rsid w:val="00650B76"/>
    <w:rsid w:val="006517D4"/>
    <w:rsid w:val="00651ACB"/>
    <w:rsid w:val="00651C47"/>
    <w:rsid w:val="00652AB2"/>
    <w:rsid w:val="00653FED"/>
    <w:rsid w:val="00654EC0"/>
    <w:rsid w:val="0065525B"/>
    <w:rsid w:val="00655D4F"/>
    <w:rsid w:val="00656300"/>
    <w:rsid w:val="00656D29"/>
    <w:rsid w:val="00660ED2"/>
    <w:rsid w:val="006640E5"/>
    <w:rsid w:val="006646F1"/>
    <w:rsid w:val="00664929"/>
    <w:rsid w:val="00664F62"/>
    <w:rsid w:val="006655E1"/>
    <w:rsid w:val="00672060"/>
    <w:rsid w:val="00672BFD"/>
    <w:rsid w:val="006770F4"/>
    <w:rsid w:val="00677A84"/>
    <w:rsid w:val="0068026D"/>
    <w:rsid w:val="00680366"/>
    <w:rsid w:val="00680A27"/>
    <w:rsid w:val="006816A4"/>
    <w:rsid w:val="006819B8"/>
    <w:rsid w:val="006840A6"/>
    <w:rsid w:val="006850CD"/>
    <w:rsid w:val="00685AAB"/>
    <w:rsid w:val="00692A48"/>
    <w:rsid w:val="006A07AA"/>
    <w:rsid w:val="006A188F"/>
    <w:rsid w:val="006A25E5"/>
    <w:rsid w:val="006A2B46"/>
    <w:rsid w:val="006A336D"/>
    <w:rsid w:val="006A37B9"/>
    <w:rsid w:val="006A7B21"/>
    <w:rsid w:val="006B0F48"/>
    <w:rsid w:val="006B2672"/>
    <w:rsid w:val="006B54BF"/>
    <w:rsid w:val="006B5F44"/>
    <w:rsid w:val="006B5F90"/>
    <w:rsid w:val="006B62E4"/>
    <w:rsid w:val="006C1BBA"/>
    <w:rsid w:val="006C2079"/>
    <w:rsid w:val="006C283D"/>
    <w:rsid w:val="006C5A62"/>
    <w:rsid w:val="006C5D68"/>
    <w:rsid w:val="006C6976"/>
    <w:rsid w:val="006C6DD0"/>
    <w:rsid w:val="006D04EA"/>
    <w:rsid w:val="006D16C4"/>
    <w:rsid w:val="006D3E96"/>
    <w:rsid w:val="006D4154"/>
    <w:rsid w:val="006D4515"/>
    <w:rsid w:val="006D4BB1"/>
    <w:rsid w:val="006D6593"/>
    <w:rsid w:val="006E6569"/>
    <w:rsid w:val="006F03A8"/>
    <w:rsid w:val="006F2ACA"/>
    <w:rsid w:val="006F2ADC"/>
    <w:rsid w:val="006F2BFE"/>
    <w:rsid w:val="006F31E9"/>
    <w:rsid w:val="006F6284"/>
    <w:rsid w:val="007002C5"/>
    <w:rsid w:val="00704387"/>
    <w:rsid w:val="00707669"/>
    <w:rsid w:val="00711CBA"/>
    <w:rsid w:val="00711FB5"/>
    <w:rsid w:val="00712A01"/>
    <w:rsid w:val="00714F58"/>
    <w:rsid w:val="007155EC"/>
    <w:rsid w:val="00716076"/>
    <w:rsid w:val="00720AA4"/>
    <w:rsid w:val="00722FBF"/>
    <w:rsid w:val="00722FC2"/>
    <w:rsid w:val="00723646"/>
    <w:rsid w:val="00724E1B"/>
    <w:rsid w:val="00725949"/>
    <w:rsid w:val="00727178"/>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2E44"/>
    <w:rsid w:val="00755402"/>
    <w:rsid w:val="00756B26"/>
    <w:rsid w:val="00756B9A"/>
    <w:rsid w:val="00756EDF"/>
    <w:rsid w:val="007600E3"/>
    <w:rsid w:val="00765C43"/>
    <w:rsid w:val="00765EFB"/>
    <w:rsid w:val="007671CA"/>
    <w:rsid w:val="00767C61"/>
    <w:rsid w:val="0077008A"/>
    <w:rsid w:val="00770DB7"/>
    <w:rsid w:val="00773C1F"/>
    <w:rsid w:val="00774DA4"/>
    <w:rsid w:val="00776599"/>
    <w:rsid w:val="0078114B"/>
    <w:rsid w:val="00781DD2"/>
    <w:rsid w:val="00783ECF"/>
    <w:rsid w:val="0078413A"/>
    <w:rsid w:val="007953EC"/>
    <w:rsid w:val="007959E8"/>
    <w:rsid w:val="00795E9C"/>
    <w:rsid w:val="007A0521"/>
    <w:rsid w:val="007A2E12"/>
    <w:rsid w:val="007A3475"/>
    <w:rsid w:val="007A41C8"/>
    <w:rsid w:val="007A54CE"/>
    <w:rsid w:val="007A6FD9"/>
    <w:rsid w:val="007A7FFA"/>
    <w:rsid w:val="007B04EB"/>
    <w:rsid w:val="007B0D4F"/>
    <w:rsid w:val="007B1597"/>
    <w:rsid w:val="007B5A3D"/>
    <w:rsid w:val="007B5B95"/>
    <w:rsid w:val="007B6032"/>
    <w:rsid w:val="007B68EA"/>
    <w:rsid w:val="007B7453"/>
    <w:rsid w:val="007C2D89"/>
    <w:rsid w:val="007C4593"/>
    <w:rsid w:val="007C5309"/>
    <w:rsid w:val="007C6069"/>
    <w:rsid w:val="007D0186"/>
    <w:rsid w:val="007D06C4"/>
    <w:rsid w:val="007D1352"/>
    <w:rsid w:val="007D2508"/>
    <w:rsid w:val="007D2875"/>
    <w:rsid w:val="007D2C5D"/>
    <w:rsid w:val="007D346A"/>
    <w:rsid w:val="007D34CC"/>
    <w:rsid w:val="007D4022"/>
    <w:rsid w:val="007D6518"/>
    <w:rsid w:val="007D6DC3"/>
    <w:rsid w:val="007D76BD"/>
    <w:rsid w:val="007E0BF1"/>
    <w:rsid w:val="007E7D30"/>
    <w:rsid w:val="007F0ED8"/>
    <w:rsid w:val="007F0F63"/>
    <w:rsid w:val="007F75CE"/>
    <w:rsid w:val="008013A4"/>
    <w:rsid w:val="008027CE"/>
    <w:rsid w:val="00802F42"/>
    <w:rsid w:val="00804187"/>
    <w:rsid w:val="00804383"/>
    <w:rsid w:val="00804BB7"/>
    <w:rsid w:val="00804D41"/>
    <w:rsid w:val="00806833"/>
    <w:rsid w:val="00810257"/>
    <w:rsid w:val="008104F5"/>
    <w:rsid w:val="00811072"/>
    <w:rsid w:val="00811369"/>
    <w:rsid w:val="00812E1D"/>
    <w:rsid w:val="00815419"/>
    <w:rsid w:val="008163C8"/>
    <w:rsid w:val="008164A1"/>
    <w:rsid w:val="00817325"/>
    <w:rsid w:val="00817B90"/>
    <w:rsid w:val="0082016D"/>
    <w:rsid w:val="008209E6"/>
    <w:rsid w:val="00823303"/>
    <w:rsid w:val="008233B2"/>
    <w:rsid w:val="00823A9F"/>
    <w:rsid w:val="00823C85"/>
    <w:rsid w:val="00825138"/>
    <w:rsid w:val="008269DD"/>
    <w:rsid w:val="00830621"/>
    <w:rsid w:val="0083348C"/>
    <w:rsid w:val="008360FB"/>
    <w:rsid w:val="008373D3"/>
    <w:rsid w:val="00840617"/>
    <w:rsid w:val="00840F84"/>
    <w:rsid w:val="008413B9"/>
    <w:rsid w:val="00842A47"/>
    <w:rsid w:val="00843C13"/>
    <w:rsid w:val="008454F8"/>
    <w:rsid w:val="0085173A"/>
    <w:rsid w:val="00855B54"/>
    <w:rsid w:val="00856B9D"/>
    <w:rsid w:val="008603CE"/>
    <w:rsid w:val="008620FC"/>
    <w:rsid w:val="008627A5"/>
    <w:rsid w:val="00862880"/>
    <w:rsid w:val="00863E05"/>
    <w:rsid w:val="00865ACA"/>
    <w:rsid w:val="00865D28"/>
    <w:rsid w:val="00865F85"/>
    <w:rsid w:val="00867C10"/>
    <w:rsid w:val="00870439"/>
    <w:rsid w:val="00870DA1"/>
    <w:rsid w:val="0087292A"/>
    <w:rsid w:val="0087388F"/>
    <w:rsid w:val="00882727"/>
    <w:rsid w:val="00882828"/>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2FDE"/>
    <w:rsid w:val="008A57E6"/>
    <w:rsid w:val="008A6F81"/>
    <w:rsid w:val="008A769A"/>
    <w:rsid w:val="008B05D7"/>
    <w:rsid w:val="008B0C9C"/>
    <w:rsid w:val="008B166D"/>
    <w:rsid w:val="008B17F4"/>
    <w:rsid w:val="008B346E"/>
    <w:rsid w:val="008B3615"/>
    <w:rsid w:val="008B4AC4"/>
    <w:rsid w:val="008B50C8"/>
    <w:rsid w:val="008B5281"/>
    <w:rsid w:val="008B7E05"/>
    <w:rsid w:val="008C1797"/>
    <w:rsid w:val="008C219C"/>
    <w:rsid w:val="008C475E"/>
    <w:rsid w:val="008C619A"/>
    <w:rsid w:val="008C6E42"/>
    <w:rsid w:val="008D0CE8"/>
    <w:rsid w:val="008D2D1D"/>
    <w:rsid w:val="008D453D"/>
    <w:rsid w:val="008D4EA2"/>
    <w:rsid w:val="008D53AD"/>
    <w:rsid w:val="008D562B"/>
    <w:rsid w:val="008D5733"/>
    <w:rsid w:val="008D622B"/>
    <w:rsid w:val="008D62CA"/>
    <w:rsid w:val="008D666C"/>
    <w:rsid w:val="008D7B54"/>
    <w:rsid w:val="008E0C9D"/>
    <w:rsid w:val="008E1648"/>
    <w:rsid w:val="008E1B3E"/>
    <w:rsid w:val="008E2319"/>
    <w:rsid w:val="008E3C85"/>
    <w:rsid w:val="008E3C8C"/>
    <w:rsid w:val="008E4BB6"/>
    <w:rsid w:val="008E5518"/>
    <w:rsid w:val="008E6A84"/>
    <w:rsid w:val="008E6C7F"/>
    <w:rsid w:val="008E7EF3"/>
    <w:rsid w:val="008F0CDC"/>
    <w:rsid w:val="008F17A3"/>
    <w:rsid w:val="008F1ED3"/>
    <w:rsid w:val="008F4C29"/>
    <w:rsid w:val="008F70BD"/>
    <w:rsid w:val="008F788F"/>
    <w:rsid w:val="008F7EA2"/>
    <w:rsid w:val="00902722"/>
    <w:rsid w:val="009027BC"/>
    <w:rsid w:val="009062E6"/>
    <w:rsid w:val="00910089"/>
    <w:rsid w:val="00911BE5"/>
    <w:rsid w:val="009137E5"/>
    <w:rsid w:val="00913CA9"/>
    <w:rsid w:val="00914560"/>
    <w:rsid w:val="009145AE"/>
    <w:rsid w:val="009146CE"/>
    <w:rsid w:val="00914997"/>
    <w:rsid w:val="00914CA7"/>
    <w:rsid w:val="00915C3E"/>
    <w:rsid w:val="009161A8"/>
    <w:rsid w:val="009219C4"/>
    <w:rsid w:val="009245AE"/>
    <w:rsid w:val="009245F5"/>
    <w:rsid w:val="009249EC"/>
    <w:rsid w:val="00926062"/>
    <w:rsid w:val="009273B3"/>
    <w:rsid w:val="009305B5"/>
    <w:rsid w:val="00933C52"/>
    <w:rsid w:val="00935DA4"/>
    <w:rsid w:val="009378DD"/>
    <w:rsid w:val="00941A34"/>
    <w:rsid w:val="009429D5"/>
    <w:rsid w:val="00942A10"/>
    <w:rsid w:val="00942BF1"/>
    <w:rsid w:val="00945180"/>
    <w:rsid w:val="00945428"/>
    <w:rsid w:val="0094607B"/>
    <w:rsid w:val="00946F8E"/>
    <w:rsid w:val="00947A5F"/>
    <w:rsid w:val="00953604"/>
    <w:rsid w:val="0095496B"/>
    <w:rsid w:val="00957161"/>
    <w:rsid w:val="00960F1E"/>
    <w:rsid w:val="009610DC"/>
    <w:rsid w:val="00961490"/>
    <w:rsid w:val="0096381A"/>
    <w:rsid w:val="00965E04"/>
    <w:rsid w:val="009674AD"/>
    <w:rsid w:val="00970CDC"/>
    <w:rsid w:val="00970EBE"/>
    <w:rsid w:val="00975727"/>
    <w:rsid w:val="00977010"/>
    <w:rsid w:val="00977D02"/>
    <w:rsid w:val="00977D66"/>
    <w:rsid w:val="00977FF9"/>
    <w:rsid w:val="009809BB"/>
    <w:rsid w:val="0098192B"/>
    <w:rsid w:val="0098364B"/>
    <w:rsid w:val="009911AF"/>
    <w:rsid w:val="00991875"/>
    <w:rsid w:val="00991F92"/>
    <w:rsid w:val="00992985"/>
    <w:rsid w:val="00993889"/>
    <w:rsid w:val="0099551B"/>
    <w:rsid w:val="0099649C"/>
    <w:rsid w:val="00996BD2"/>
    <w:rsid w:val="00997BF1"/>
    <w:rsid w:val="00997E71"/>
    <w:rsid w:val="009A089C"/>
    <w:rsid w:val="009A118E"/>
    <w:rsid w:val="009A21CD"/>
    <w:rsid w:val="009A278C"/>
    <w:rsid w:val="009A2BC2"/>
    <w:rsid w:val="009A42C1"/>
    <w:rsid w:val="009A5429"/>
    <w:rsid w:val="009A5AD2"/>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D7CC0"/>
    <w:rsid w:val="009D7F05"/>
    <w:rsid w:val="009E0F62"/>
    <w:rsid w:val="009E17A6"/>
    <w:rsid w:val="009E4A58"/>
    <w:rsid w:val="009E5A2D"/>
    <w:rsid w:val="009E5AB2"/>
    <w:rsid w:val="009E6219"/>
    <w:rsid w:val="009E713F"/>
    <w:rsid w:val="009F03B3"/>
    <w:rsid w:val="00A0096C"/>
    <w:rsid w:val="00A01757"/>
    <w:rsid w:val="00A028C0"/>
    <w:rsid w:val="00A02BAE"/>
    <w:rsid w:val="00A02EBC"/>
    <w:rsid w:val="00A06A6B"/>
    <w:rsid w:val="00A07163"/>
    <w:rsid w:val="00A07E47"/>
    <w:rsid w:val="00A129D0"/>
    <w:rsid w:val="00A12C33"/>
    <w:rsid w:val="00A12EA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440"/>
    <w:rsid w:val="00A42CDF"/>
    <w:rsid w:val="00A4452E"/>
    <w:rsid w:val="00A4472C"/>
    <w:rsid w:val="00A44E69"/>
    <w:rsid w:val="00A4661E"/>
    <w:rsid w:val="00A47114"/>
    <w:rsid w:val="00A53FF5"/>
    <w:rsid w:val="00A55BD6"/>
    <w:rsid w:val="00A55D50"/>
    <w:rsid w:val="00A57142"/>
    <w:rsid w:val="00A5789F"/>
    <w:rsid w:val="00A648CD"/>
    <w:rsid w:val="00A6537A"/>
    <w:rsid w:val="00A677CB"/>
    <w:rsid w:val="00A67866"/>
    <w:rsid w:val="00A70B07"/>
    <w:rsid w:val="00A723F8"/>
    <w:rsid w:val="00A75C46"/>
    <w:rsid w:val="00A7782B"/>
    <w:rsid w:val="00A77CCB"/>
    <w:rsid w:val="00A83D8D"/>
    <w:rsid w:val="00A8446B"/>
    <w:rsid w:val="00A8473F"/>
    <w:rsid w:val="00A862D6"/>
    <w:rsid w:val="00A8715E"/>
    <w:rsid w:val="00A9295B"/>
    <w:rsid w:val="00A93B09"/>
    <w:rsid w:val="00A952D7"/>
    <w:rsid w:val="00A963F7"/>
    <w:rsid w:val="00A96AD8"/>
    <w:rsid w:val="00AA052C"/>
    <w:rsid w:val="00AA1E45"/>
    <w:rsid w:val="00AA38D3"/>
    <w:rsid w:val="00AA4286"/>
    <w:rsid w:val="00AA4394"/>
    <w:rsid w:val="00AA456B"/>
    <w:rsid w:val="00AA57F5"/>
    <w:rsid w:val="00AA672E"/>
    <w:rsid w:val="00AA6EC9"/>
    <w:rsid w:val="00AB0D33"/>
    <w:rsid w:val="00AB6309"/>
    <w:rsid w:val="00AB6C5F"/>
    <w:rsid w:val="00AB7129"/>
    <w:rsid w:val="00AC22CC"/>
    <w:rsid w:val="00AC27A6"/>
    <w:rsid w:val="00AC30F7"/>
    <w:rsid w:val="00AC3A5A"/>
    <w:rsid w:val="00AC4D95"/>
    <w:rsid w:val="00AC4E6A"/>
    <w:rsid w:val="00AC5DF4"/>
    <w:rsid w:val="00AD0AEF"/>
    <w:rsid w:val="00AD11B7"/>
    <w:rsid w:val="00AD1A94"/>
    <w:rsid w:val="00AD1C05"/>
    <w:rsid w:val="00AD4126"/>
    <w:rsid w:val="00AD41E5"/>
    <w:rsid w:val="00AD421C"/>
    <w:rsid w:val="00AD44FA"/>
    <w:rsid w:val="00AD5D4C"/>
    <w:rsid w:val="00AE0441"/>
    <w:rsid w:val="00AE070A"/>
    <w:rsid w:val="00AE101C"/>
    <w:rsid w:val="00AE2A69"/>
    <w:rsid w:val="00AE37E5"/>
    <w:rsid w:val="00AE5EB4"/>
    <w:rsid w:val="00AF0C18"/>
    <w:rsid w:val="00AF2A18"/>
    <w:rsid w:val="00AF47C5"/>
    <w:rsid w:val="00AF5398"/>
    <w:rsid w:val="00AF794E"/>
    <w:rsid w:val="00B049AF"/>
    <w:rsid w:val="00B07242"/>
    <w:rsid w:val="00B10444"/>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B2A"/>
    <w:rsid w:val="00B50E50"/>
    <w:rsid w:val="00B52120"/>
    <w:rsid w:val="00B5264A"/>
    <w:rsid w:val="00B54ABC"/>
    <w:rsid w:val="00B56FBE"/>
    <w:rsid w:val="00B576AB"/>
    <w:rsid w:val="00B60ACF"/>
    <w:rsid w:val="00B610EC"/>
    <w:rsid w:val="00B62B58"/>
    <w:rsid w:val="00B64DD4"/>
    <w:rsid w:val="00B65149"/>
    <w:rsid w:val="00B66567"/>
    <w:rsid w:val="00B66F52"/>
    <w:rsid w:val="00B66FE5"/>
    <w:rsid w:val="00B72880"/>
    <w:rsid w:val="00B7366E"/>
    <w:rsid w:val="00B758BF"/>
    <w:rsid w:val="00B77EC8"/>
    <w:rsid w:val="00B827A6"/>
    <w:rsid w:val="00B831CE"/>
    <w:rsid w:val="00B84179"/>
    <w:rsid w:val="00B86677"/>
    <w:rsid w:val="00B87131"/>
    <w:rsid w:val="00B8771E"/>
    <w:rsid w:val="00B90BA6"/>
    <w:rsid w:val="00B9113A"/>
    <w:rsid w:val="00B939B1"/>
    <w:rsid w:val="00B96D40"/>
    <w:rsid w:val="00B97386"/>
    <w:rsid w:val="00BA263B"/>
    <w:rsid w:val="00BA27F8"/>
    <w:rsid w:val="00BA42B2"/>
    <w:rsid w:val="00BA58D4"/>
    <w:rsid w:val="00BA5B9E"/>
    <w:rsid w:val="00BA7C9A"/>
    <w:rsid w:val="00BB5F8F"/>
    <w:rsid w:val="00BB657A"/>
    <w:rsid w:val="00BB6CD6"/>
    <w:rsid w:val="00BC1A4E"/>
    <w:rsid w:val="00BC5DC7"/>
    <w:rsid w:val="00BC6B8B"/>
    <w:rsid w:val="00BC73D8"/>
    <w:rsid w:val="00BD52D7"/>
    <w:rsid w:val="00BD5AD2"/>
    <w:rsid w:val="00BE22F3"/>
    <w:rsid w:val="00BE58A5"/>
    <w:rsid w:val="00BE5B52"/>
    <w:rsid w:val="00BE737F"/>
    <w:rsid w:val="00BE7B8D"/>
    <w:rsid w:val="00BF0993"/>
    <w:rsid w:val="00BF10A9"/>
    <w:rsid w:val="00BF1703"/>
    <w:rsid w:val="00BF231C"/>
    <w:rsid w:val="00BF2742"/>
    <w:rsid w:val="00BF51E5"/>
    <w:rsid w:val="00BF74A6"/>
    <w:rsid w:val="00C013AD"/>
    <w:rsid w:val="00C013BC"/>
    <w:rsid w:val="00C047E0"/>
    <w:rsid w:val="00C04904"/>
    <w:rsid w:val="00C056B3"/>
    <w:rsid w:val="00C103E5"/>
    <w:rsid w:val="00C13319"/>
    <w:rsid w:val="00C13D6A"/>
    <w:rsid w:val="00C13EE9"/>
    <w:rsid w:val="00C21540"/>
    <w:rsid w:val="00C21906"/>
    <w:rsid w:val="00C21BFA"/>
    <w:rsid w:val="00C23A49"/>
    <w:rsid w:val="00C24C8D"/>
    <w:rsid w:val="00C25FE2"/>
    <w:rsid w:val="00C26AB5"/>
    <w:rsid w:val="00C26B53"/>
    <w:rsid w:val="00C279B2"/>
    <w:rsid w:val="00C33E50"/>
    <w:rsid w:val="00C34C20"/>
    <w:rsid w:val="00C35A3E"/>
    <w:rsid w:val="00C42130"/>
    <w:rsid w:val="00C423A4"/>
    <w:rsid w:val="00C423E3"/>
    <w:rsid w:val="00C44BF5"/>
    <w:rsid w:val="00C47F27"/>
    <w:rsid w:val="00C5025B"/>
    <w:rsid w:val="00C521D6"/>
    <w:rsid w:val="00C55232"/>
    <w:rsid w:val="00C553A4"/>
    <w:rsid w:val="00C55A06"/>
    <w:rsid w:val="00C55D03"/>
    <w:rsid w:val="00C601BC"/>
    <w:rsid w:val="00C6329F"/>
    <w:rsid w:val="00C63340"/>
    <w:rsid w:val="00C643F9"/>
    <w:rsid w:val="00C64E95"/>
    <w:rsid w:val="00C67833"/>
    <w:rsid w:val="00C71372"/>
    <w:rsid w:val="00C72410"/>
    <w:rsid w:val="00C7287F"/>
    <w:rsid w:val="00C75982"/>
    <w:rsid w:val="00C80CB8"/>
    <w:rsid w:val="00C819F8"/>
    <w:rsid w:val="00C8248C"/>
    <w:rsid w:val="00C84E33"/>
    <w:rsid w:val="00C86D6F"/>
    <w:rsid w:val="00C87ABB"/>
    <w:rsid w:val="00C905FC"/>
    <w:rsid w:val="00C91B20"/>
    <w:rsid w:val="00C92D03"/>
    <w:rsid w:val="00C9319C"/>
    <w:rsid w:val="00C9435D"/>
    <w:rsid w:val="00C94DF2"/>
    <w:rsid w:val="00C96741"/>
    <w:rsid w:val="00C9677A"/>
    <w:rsid w:val="00C97B5C"/>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53B"/>
    <w:rsid w:val="00CC6E4E"/>
    <w:rsid w:val="00CC6FE8"/>
    <w:rsid w:val="00CC7202"/>
    <w:rsid w:val="00CD1F3D"/>
    <w:rsid w:val="00CD2808"/>
    <w:rsid w:val="00CD28BF"/>
    <w:rsid w:val="00CD2F19"/>
    <w:rsid w:val="00CD4092"/>
    <w:rsid w:val="00CD4A20"/>
    <w:rsid w:val="00CD50A1"/>
    <w:rsid w:val="00CD519E"/>
    <w:rsid w:val="00CD55DC"/>
    <w:rsid w:val="00CE0C4F"/>
    <w:rsid w:val="00CE30EA"/>
    <w:rsid w:val="00CE645F"/>
    <w:rsid w:val="00CE6EC1"/>
    <w:rsid w:val="00CF048A"/>
    <w:rsid w:val="00CF155A"/>
    <w:rsid w:val="00CF2947"/>
    <w:rsid w:val="00CF686F"/>
    <w:rsid w:val="00CF6E60"/>
    <w:rsid w:val="00CF7BCA"/>
    <w:rsid w:val="00D008FD"/>
    <w:rsid w:val="00D02B62"/>
    <w:rsid w:val="00D0321C"/>
    <w:rsid w:val="00D035EC"/>
    <w:rsid w:val="00D06AB1"/>
    <w:rsid w:val="00D06FC1"/>
    <w:rsid w:val="00D072ED"/>
    <w:rsid w:val="00D07A16"/>
    <w:rsid w:val="00D07CB4"/>
    <w:rsid w:val="00D1067E"/>
    <w:rsid w:val="00D10F50"/>
    <w:rsid w:val="00D11272"/>
    <w:rsid w:val="00D119EF"/>
    <w:rsid w:val="00D126F5"/>
    <w:rsid w:val="00D1489E"/>
    <w:rsid w:val="00D20737"/>
    <w:rsid w:val="00D21E81"/>
    <w:rsid w:val="00D223DE"/>
    <w:rsid w:val="00D25E37"/>
    <w:rsid w:val="00D2661A"/>
    <w:rsid w:val="00D27582"/>
    <w:rsid w:val="00D27EC4"/>
    <w:rsid w:val="00D32719"/>
    <w:rsid w:val="00D33333"/>
    <w:rsid w:val="00D352A2"/>
    <w:rsid w:val="00D35A48"/>
    <w:rsid w:val="00D4162B"/>
    <w:rsid w:val="00D4514F"/>
    <w:rsid w:val="00D451E2"/>
    <w:rsid w:val="00D45E89"/>
    <w:rsid w:val="00D45E8D"/>
    <w:rsid w:val="00D466AE"/>
    <w:rsid w:val="00D4734F"/>
    <w:rsid w:val="00D51BF3"/>
    <w:rsid w:val="00D52696"/>
    <w:rsid w:val="00D53D84"/>
    <w:rsid w:val="00D66846"/>
    <w:rsid w:val="00D675FB"/>
    <w:rsid w:val="00D702FB"/>
    <w:rsid w:val="00D709AF"/>
    <w:rsid w:val="00D71F25"/>
    <w:rsid w:val="00D72A9C"/>
    <w:rsid w:val="00D7520C"/>
    <w:rsid w:val="00D77031"/>
    <w:rsid w:val="00D77F0B"/>
    <w:rsid w:val="00D81C6C"/>
    <w:rsid w:val="00D84941"/>
    <w:rsid w:val="00D84FA1"/>
    <w:rsid w:val="00D851F0"/>
    <w:rsid w:val="00D86D30"/>
    <w:rsid w:val="00D86DB7"/>
    <w:rsid w:val="00D87ED6"/>
    <w:rsid w:val="00D90721"/>
    <w:rsid w:val="00D926D0"/>
    <w:rsid w:val="00D93030"/>
    <w:rsid w:val="00D950E1"/>
    <w:rsid w:val="00D952A6"/>
    <w:rsid w:val="00D97F99"/>
    <w:rsid w:val="00DA1491"/>
    <w:rsid w:val="00DA1E08"/>
    <w:rsid w:val="00DA24F8"/>
    <w:rsid w:val="00DA28E8"/>
    <w:rsid w:val="00DA38D3"/>
    <w:rsid w:val="00DA3932"/>
    <w:rsid w:val="00DA3AFC"/>
    <w:rsid w:val="00DA4780"/>
    <w:rsid w:val="00DA64F8"/>
    <w:rsid w:val="00DA6C15"/>
    <w:rsid w:val="00DB0258"/>
    <w:rsid w:val="00DB38EE"/>
    <w:rsid w:val="00DB498B"/>
    <w:rsid w:val="00DB66CA"/>
    <w:rsid w:val="00DB6BCA"/>
    <w:rsid w:val="00DB6F54"/>
    <w:rsid w:val="00DB73F7"/>
    <w:rsid w:val="00DC0321"/>
    <w:rsid w:val="00DC1BEA"/>
    <w:rsid w:val="00DC3067"/>
    <w:rsid w:val="00DC370B"/>
    <w:rsid w:val="00DC49FD"/>
    <w:rsid w:val="00DC5B90"/>
    <w:rsid w:val="00DD00FF"/>
    <w:rsid w:val="00DD0619"/>
    <w:rsid w:val="00DD07FB"/>
    <w:rsid w:val="00DD1EA5"/>
    <w:rsid w:val="00DD25C6"/>
    <w:rsid w:val="00DD4FE5"/>
    <w:rsid w:val="00DD54B0"/>
    <w:rsid w:val="00DD57EE"/>
    <w:rsid w:val="00DD6BCC"/>
    <w:rsid w:val="00DE0A4B"/>
    <w:rsid w:val="00DE2410"/>
    <w:rsid w:val="00DE2939"/>
    <w:rsid w:val="00DE6E81"/>
    <w:rsid w:val="00DE703F"/>
    <w:rsid w:val="00DE7595"/>
    <w:rsid w:val="00DF1961"/>
    <w:rsid w:val="00DF44DE"/>
    <w:rsid w:val="00E00638"/>
    <w:rsid w:val="00E01138"/>
    <w:rsid w:val="00E02DFB"/>
    <w:rsid w:val="00E030F9"/>
    <w:rsid w:val="00E0311A"/>
    <w:rsid w:val="00E03138"/>
    <w:rsid w:val="00E06404"/>
    <w:rsid w:val="00E0689B"/>
    <w:rsid w:val="00E11A85"/>
    <w:rsid w:val="00E12012"/>
    <w:rsid w:val="00E12495"/>
    <w:rsid w:val="00E14492"/>
    <w:rsid w:val="00E149D7"/>
    <w:rsid w:val="00E14F63"/>
    <w:rsid w:val="00E15CCD"/>
    <w:rsid w:val="00E202EF"/>
    <w:rsid w:val="00E210B5"/>
    <w:rsid w:val="00E2552F"/>
    <w:rsid w:val="00E310C9"/>
    <w:rsid w:val="00E3137A"/>
    <w:rsid w:val="00E32CCF"/>
    <w:rsid w:val="00E34278"/>
    <w:rsid w:val="00E34A98"/>
    <w:rsid w:val="00E35D1E"/>
    <w:rsid w:val="00E364F9"/>
    <w:rsid w:val="00E365FA"/>
    <w:rsid w:val="00E36789"/>
    <w:rsid w:val="00E44A83"/>
    <w:rsid w:val="00E478EA"/>
    <w:rsid w:val="00E502C1"/>
    <w:rsid w:val="00E502DD"/>
    <w:rsid w:val="00E507AA"/>
    <w:rsid w:val="00E50D3A"/>
    <w:rsid w:val="00E51387"/>
    <w:rsid w:val="00E51E68"/>
    <w:rsid w:val="00E52EFD"/>
    <w:rsid w:val="00E5408A"/>
    <w:rsid w:val="00E56800"/>
    <w:rsid w:val="00E60C63"/>
    <w:rsid w:val="00E62FF9"/>
    <w:rsid w:val="00E635D6"/>
    <w:rsid w:val="00E639BC"/>
    <w:rsid w:val="00E646C9"/>
    <w:rsid w:val="00E664CC"/>
    <w:rsid w:val="00E70388"/>
    <w:rsid w:val="00E70F92"/>
    <w:rsid w:val="00E74313"/>
    <w:rsid w:val="00E74363"/>
    <w:rsid w:val="00E74C54"/>
    <w:rsid w:val="00E77A03"/>
    <w:rsid w:val="00E800D4"/>
    <w:rsid w:val="00E822E8"/>
    <w:rsid w:val="00E82554"/>
    <w:rsid w:val="00E82606"/>
    <w:rsid w:val="00E831C1"/>
    <w:rsid w:val="00E846C8"/>
    <w:rsid w:val="00E84957"/>
    <w:rsid w:val="00E84A55"/>
    <w:rsid w:val="00E85B29"/>
    <w:rsid w:val="00E85BFF"/>
    <w:rsid w:val="00E8748A"/>
    <w:rsid w:val="00E8786D"/>
    <w:rsid w:val="00E90391"/>
    <w:rsid w:val="00E906C2"/>
    <w:rsid w:val="00E92100"/>
    <w:rsid w:val="00E9311F"/>
    <w:rsid w:val="00E934D1"/>
    <w:rsid w:val="00E94AF0"/>
    <w:rsid w:val="00E95D13"/>
    <w:rsid w:val="00E95DD3"/>
    <w:rsid w:val="00E969D5"/>
    <w:rsid w:val="00EA4B4C"/>
    <w:rsid w:val="00EA56CE"/>
    <w:rsid w:val="00EA58D1"/>
    <w:rsid w:val="00EA61BC"/>
    <w:rsid w:val="00EA681A"/>
    <w:rsid w:val="00EA735B"/>
    <w:rsid w:val="00EB03FB"/>
    <w:rsid w:val="00EB0CCE"/>
    <w:rsid w:val="00EB1E69"/>
    <w:rsid w:val="00EB2086"/>
    <w:rsid w:val="00EB31ED"/>
    <w:rsid w:val="00EB4042"/>
    <w:rsid w:val="00EB520A"/>
    <w:rsid w:val="00EB5EDF"/>
    <w:rsid w:val="00EB60FE"/>
    <w:rsid w:val="00EB74DB"/>
    <w:rsid w:val="00EC5359"/>
    <w:rsid w:val="00EC562A"/>
    <w:rsid w:val="00ED067A"/>
    <w:rsid w:val="00ED0BE8"/>
    <w:rsid w:val="00ED2B50"/>
    <w:rsid w:val="00ED50F9"/>
    <w:rsid w:val="00ED6A45"/>
    <w:rsid w:val="00EE0350"/>
    <w:rsid w:val="00EE0719"/>
    <w:rsid w:val="00EE0E80"/>
    <w:rsid w:val="00EE128E"/>
    <w:rsid w:val="00EE613F"/>
    <w:rsid w:val="00EE7295"/>
    <w:rsid w:val="00EE7869"/>
    <w:rsid w:val="00EF054A"/>
    <w:rsid w:val="00EF3235"/>
    <w:rsid w:val="00EF7E72"/>
    <w:rsid w:val="00F021D0"/>
    <w:rsid w:val="00F06D37"/>
    <w:rsid w:val="00F07B9D"/>
    <w:rsid w:val="00F11586"/>
    <w:rsid w:val="00F1183B"/>
    <w:rsid w:val="00F11C9F"/>
    <w:rsid w:val="00F12263"/>
    <w:rsid w:val="00F1409D"/>
    <w:rsid w:val="00F14214"/>
    <w:rsid w:val="00F157A9"/>
    <w:rsid w:val="00F16F00"/>
    <w:rsid w:val="00F20036"/>
    <w:rsid w:val="00F25BB6"/>
    <w:rsid w:val="00F26B7E"/>
    <w:rsid w:val="00F27A3B"/>
    <w:rsid w:val="00F31B5E"/>
    <w:rsid w:val="00F32B8D"/>
    <w:rsid w:val="00F33817"/>
    <w:rsid w:val="00F37898"/>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887"/>
    <w:rsid w:val="00F71E22"/>
    <w:rsid w:val="00F72142"/>
    <w:rsid w:val="00F72AE7"/>
    <w:rsid w:val="00F833BA"/>
    <w:rsid w:val="00F84FD0"/>
    <w:rsid w:val="00F859A8"/>
    <w:rsid w:val="00F86D87"/>
    <w:rsid w:val="00F9108B"/>
    <w:rsid w:val="00F91349"/>
    <w:rsid w:val="00F93A8A"/>
    <w:rsid w:val="00F95248"/>
    <w:rsid w:val="00F95542"/>
    <w:rsid w:val="00F956A9"/>
    <w:rsid w:val="00F963ED"/>
    <w:rsid w:val="00F966CF"/>
    <w:rsid w:val="00F96CAE"/>
    <w:rsid w:val="00F97C99"/>
    <w:rsid w:val="00FA0F10"/>
    <w:rsid w:val="00FA662D"/>
    <w:rsid w:val="00FA73B1"/>
    <w:rsid w:val="00FB0CB9"/>
    <w:rsid w:val="00FB231D"/>
    <w:rsid w:val="00FB45F1"/>
    <w:rsid w:val="00FB4A72"/>
    <w:rsid w:val="00FB54E8"/>
    <w:rsid w:val="00FB5B13"/>
    <w:rsid w:val="00FB7054"/>
    <w:rsid w:val="00FB7B41"/>
    <w:rsid w:val="00FC15F0"/>
    <w:rsid w:val="00FC17B7"/>
    <w:rsid w:val="00FC2CB7"/>
    <w:rsid w:val="00FC4090"/>
    <w:rsid w:val="00FC55B4"/>
    <w:rsid w:val="00FD00E6"/>
    <w:rsid w:val="00FD03EB"/>
    <w:rsid w:val="00FD09A1"/>
    <w:rsid w:val="00FD2024"/>
    <w:rsid w:val="00FD2A7C"/>
    <w:rsid w:val="00FD59EB"/>
    <w:rsid w:val="00FD7299"/>
    <w:rsid w:val="00FE1FBE"/>
    <w:rsid w:val="00FE3901"/>
    <w:rsid w:val="00FE39D3"/>
    <w:rsid w:val="00FE4BCE"/>
    <w:rsid w:val="00FE54AE"/>
    <w:rsid w:val="00FE576A"/>
    <w:rsid w:val="00FE7E79"/>
    <w:rsid w:val="00FF03F9"/>
    <w:rsid w:val="00FF3E7D"/>
    <w:rsid w:val="00FF5B99"/>
    <w:rsid w:val="00FF730C"/>
    <w:rsid w:val="00FF73F4"/>
    <w:rsid w:val="00FF7CE4"/>
    <w:rsid w:val="00FF7E39"/>
    <w:rsid w:val="09A95436"/>
    <w:rsid w:val="111E08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7"/>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6"/>
    <w:semiHidden/>
    <w:unhideWhenUsed/>
    <w:uiPriority w:val="99"/>
    <w:rPr>
      <w:sz w:val="18"/>
      <w:szCs w:val="18"/>
    </w:rPr>
  </w:style>
  <w:style w:type="paragraph" w:styleId="17">
    <w:name w:val="footer"/>
    <w:basedOn w:val="1"/>
    <w:link w:val="45"/>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100"/>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Normal (Web)"/>
    <w:basedOn w:val="1"/>
    <w:unhideWhenUsed/>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uiPriority w:val="0"/>
    <w:rPr>
      <w:rFonts w:ascii="宋体" w:hAnsi="Times New Roman" w:eastAsia="宋体"/>
      <w:sz w:val="18"/>
    </w:rPr>
  </w:style>
  <w:style w:type="character" w:styleId="32">
    <w:name w:val="Emphasis"/>
    <w:qFormat/>
    <w:uiPriority w:val="20"/>
    <w:rPr>
      <w:i/>
      <w:iCs/>
    </w:rPr>
  </w:style>
  <w:style w:type="character" w:styleId="33">
    <w:name w:val="Hyperlink"/>
    <w:uiPriority w:val="99"/>
    <w:rPr>
      <w:rFonts w:ascii="宋体" w:hAnsi="Times New Roman" w:eastAsia="宋体"/>
      <w:color w:val="auto"/>
      <w:spacing w:val="0"/>
      <w:w w:val="100"/>
      <w:position w:val="0"/>
      <w:sz w:val="21"/>
      <w:u w:val="none"/>
      <w:vertAlign w:val="baseline"/>
    </w:rPr>
  </w:style>
  <w:style w:type="character" w:styleId="34">
    <w:name w:val="footnote reference"/>
    <w:semiHidden/>
    <w:uiPriority w:val="0"/>
    <w:rPr>
      <w:rFonts w:ascii="宋体" w:hAnsi="宋体" w:eastAsia="宋体" w:cs="Times New Roman"/>
      <w:spacing w:val="0"/>
      <w:sz w:val="18"/>
      <w:vertAlign w:val="superscript"/>
    </w:rPr>
  </w:style>
  <w:style w:type="character" w:customStyle="1" w:styleId="35">
    <w:name w:val="标题 1 Char"/>
    <w:link w:val="2"/>
    <w:uiPriority w:val="0"/>
    <w:rPr>
      <w:rFonts w:ascii="Times New Roman" w:hAnsi="Times New Roman" w:eastAsia="宋体" w:cs="Times New Roman"/>
      <w:b/>
      <w:bCs/>
      <w:kern w:val="44"/>
      <w:sz w:val="44"/>
      <w:szCs w:val="44"/>
    </w:rPr>
  </w:style>
  <w:style w:type="character" w:customStyle="1" w:styleId="36">
    <w:name w:val="标题 2 Char"/>
    <w:link w:val="3"/>
    <w:uiPriority w:val="0"/>
    <w:rPr>
      <w:rFonts w:ascii="Arial" w:hAnsi="Arial" w:eastAsia="黑体" w:cs="Times New Roman"/>
      <w:b/>
      <w:bCs/>
      <w:sz w:val="32"/>
      <w:szCs w:val="32"/>
    </w:rPr>
  </w:style>
  <w:style w:type="character" w:customStyle="1" w:styleId="37">
    <w:name w:val="标题 3 Char"/>
    <w:link w:val="4"/>
    <w:uiPriority w:val="0"/>
    <w:rPr>
      <w:rFonts w:ascii="Times New Roman" w:hAnsi="Times New Roman" w:eastAsia="宋体" w:cs="Times New Roman"/>
      <w:b/>
      <w:bCs/>
      <w:sz w:val="32"/>
      <w:szCs w:val="32"/>
    </w:rPr>
  </w:style>
  <w:style w:type="character" w:customStyle="1" w:styleId="38">
    <w:name w:val="标题 4 Char"/>
    <w:link w:val="5"/>
    <w:uiPriority w:val="0"/>
    <w:rPr>
      <w:rFonts w:ascii="Arial" w:hAnsi="Arial" w:eastAsia="黑体" w:cs="Times New Roman"/>
      <w:b/>
      <w:bCs/>
      <w:sz w:val="28"/>
      <w:szCs w:val="28"/>
    </w:rPr>
  </w:style>
  <w:style w:type="character" w:customStyle="1" w:styleId="39">
    <w:name w:val="标题 5 Char"/>
    <w:link w:val="6"/>
    <w:uiPriority w:val="0"/>
    <w:rPr>
      <w:rFonts w:ascii="Times New Roman" w:hAnsi="Times New Roman" w:eastAsia="宋体" w:cs="Times New Roman"/>
      <w:b/>
      <w:bCs/>
      <w:sz w:val="28"/>
      <w:szCs w:val="28"/>
    </w:rPr>
  </w:style>
  <w:style w:type="character" w:customStyle="1" w:styleId="40">
    <w:name w:val="标题 6 Char"/>
    <w:link w:val="7"/>
    <w:uiPriority w:val="0"/>
    <w:rPr>
      <w:rFonts w:ascii="Arial" w:hAnsi="Arial" w:eastAsia="黑体" w:cs="Times New Roman"/>
      <w:b/>
      <w:bCs/>
      <w:sz w:val="24"/>
      <w:szCs w:val="24"/>
    </w:rPr>
  </w:style>
  <w:style w:type="character" w:customStyle="1" w:styleId="41">
    <w:name w:val="标题 7 Char"/>
    <w:link w:val="8"/>
    <w:uiPriority w:val="0"/>
    <w:rPr>
      <w:rFonts w:ascii="Times New Roman" w:hAnsi="Times New Roman" w:eastAsia="宋体" w:cs="Times New Roman"/>
      <w:b/>
      <w:bCs/>
      <w:sz w:val="24"/>
      <w:szCs w:val="24"/>
    </w:rPr>
  </w:style>
  <w:style w:type="character" w:customStyle="1" w:styleId="42">
    <w:name w:val="标题 8 Char"/>
    <w:link w:val="9"/>
    <w:uiPriority w:val="0"/>
    <w:rPr>
      <w:rFonts w:ascii="Arial" w:hAnsi="Arial" w:eastAsia="黑体" w:cs="Times New Roman"/>
      <w:sz w:val="24"/>
      <w:szCs w:val="24"/>
    </w:rPr>
  </w:style>
  <w:style w:type="character" w:customStyle="1" w:styleId="43">
    <w:name w:val="标题 9 Char"/>
    <w:link w:val="10"/>
    <w:uiPriority w:val="0"/>
    <w:rPr>
      <w:rFonts w:ascii="Arial" w:hAnsi="Arial" w:eastAsia="黑体" w:cs="Times New Roman"/>
      <w:szCs w:val="21"/>
    </w:rPr>
  </w:style>
  <w:style w:type="character" w:customStyle="1" w:styleId="44">
    <w:name w:val="页眉 Char"/>
    <w:link w:val="18"/>
    <w:uiPriority w:val="99"/>
    <w:rPr>
      <w:rFonts w:ascii="Times New Roman" w:hAnsi="Times New Roman" w:eastAsia="宋体" w:cs="Times New Roman"/>
      <w:sz w:val="18"/>
      <w:szCs w:val="18"/>
    </w:rPr>
  </w:style>
  <w:style w:type="character" w:customStyle="1" w:styleId="45">
    <w:name w:val="页脚 Char"/>
    <w:link w:val="17"/>
    <w:uiPriority w:val="99"/>
    <w:rPr>
      <w:rFonts w:ascii="宋体" w:hAnsi="Times New Roman" w:eastAsia="宋体" w:cs="Times New Roman"/>
      <w:sz w:val="18"/>
      <w:szCs w:val="18"/>
    </w:rPr>
  </w:style>
  <w:style w:type="character" w:customStyle="1" w:styleId="46">
    <w:name w:val="批注框文本 Char"/>
    <w:link w:val="16"/>
    <w:semiHidden/>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uiPriority w:val="29"/>
    <w:rPr>
      <w:i/>
      <w:iCs/>
      <w:color w:val="000000"/>
    </w:rPr>
  </w:style>
  <w:style w:type="character" w:customStyle="1" w:styleId="49">
    <w:name w:val="标题 Char"/>
    <w:link w:val="26"/>
    <w:uiPriority w:val="0"/>
    <w:rPr>
      <w:rFonts w:ascii="Arial" w:hAnsi="Arial" w:eastAsia="宋体" w:cs="Arial"/>
      <w:b/>
      <w:bCs/>
      <w:sz w:val="32"/>
      <w:szCs w:val="32"/>
    </w:rPr>
  </w:style>
  <w:style w:type="paragraph" w:customStyle="1" w:styleId="50">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uiPriority w:val="0"/>
    <w:pPr>
      <w:ind w:left="198"/>
    </w:pPr>
    <w:rPr>
      <w:rFonts w:ascii="宋体" w:hAnsi="Times New Roman" w:eastAsia="宋体" w:cs="Times New Roman"/>
      <w:sz w:val="18"/>
      <w:lang w:val="en-US" w:eastAsia="zh-CN" w:bidi="ar-SA"/>
    </w:rPr>
  </w:style>
  <w:style w:type="paragraph" w:customStyle="1" w:styleId="53">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4">
    <w:name w:val="标准书眉一"/>
    <w:uiPriority w:val="0"/>
    <w:pPr>
      <w:jc w:val="both"/>
    </w:pPr>
    <w:rPr>
      <w:rFonts w:ascii="Times New Roman" w:hAnsi="Times New Roman" w:eastAsia="宋体" w:cs="Times New Roman"/>
      <w:lang w:val="en-US" w:eastAsia="zh-CN" w:bidi="ar-SA"/>
    </w:rPr>
  </w:style>
  <w:style w:type="paragraph" w:customStyle="1" w:styleId="55">
    <w:name w:val="标准文件_ICS"/>
    <w:basedOn w:val="1"/>
    <w:uiPriority w:val="0"/>
    <w:pPr>
      <w:spacing w:line="0" w:lineRule="atLeast"/>
    </w:pPr>
    <w:rPr>
      <w:rFonts w:ascii="黑体" w:hAnsi="宋体" w:eastAsia="黑体"/>
    </w:rPr>
  </w:style>
  <w:style w:type="paragraph" w:customStyle="1" w:styleId="56">
    <w:name w:val="标准文件_标准正文"/>
    <w:basedOn w:val="1"/>
    <w:next w:val="57"/>
    <w:uiPriority w:val="0"/>
    <w:pPr>
      <w:snapToGrid w:val="0"/>
      <w:ind w:firstLine="200" w:firstLineChars="200"/>
    </w:pPr>
    <w:rPr>
      <w:kern w:val="0"/>
    </w:rPr>
  </w:style>
  <w:style w:type="paragraph" w:customStyle="1" w:styleId="57">
    <w:name w:val="标准文件_段"/>
    <w:link w:val="185"/>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uiPriority w:val="0"/>
    <w:pPr>
      <w:adjustRightInd/>
      <w:snapToGrid/>
      <w:ind w:firstLine="0" w:firstLineChars="0"/>
    </w:pPr>
    <w:rPr>
      <w:rFonts w:ascii="宋体" w:hAnsi="宋体"/>
      <w:kern w:val="2"/>
    </w:rPr>
  </w:style>
  <w:style w:type="paragraph" w:customStyle="1" w:styleId="59">
    <w:name w:val="标准文件_标准部门"/>
    <w:basedOn w:val="1"/>
    <w:uiPriority w:val="0"/>
    <w:pPr>
      <w:jc w:val="center"/>
    </w:pPr>
    <w:rPr>
      <w:rFonts w:ascii="黑体" w:eastAsia="黑体"/>
      <w:kern w:val="0"/>
      <w:sz w:val="44"/>
    </w:rPr>
  </w:style>
  <w:style w:type="paragraph" w:customStyle="1" w:styleId="60">
    <w:name w:val="标准文件_标准代替"/>
    <w:basedOn w:val="1"/>
    <w:next w:val="1"/>
    <w:uiPriority w:val="0"/>
    <w:pPr>
      <w:spacing w:line="310" w:lineRule="exact"/>
      <w:jc w:val="right"/>
    </w:pPr>
    <w:rPr>
      <w:rFonts w:ascii="宋体" w:hAnsi="宋体"/>
      <w:kern w:val="0"/>
    </w:rPr>
  </w:style>
  <w:style w:type="paragraph" w:customStyle="1" w:styleId="61">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uiPriority w:val="0"/>
    <w:pPr>
      <w:jc w:val="left"/>
    </w:pPr>
  </w:style>
  <w:style w:type="paragraph" w:customStyle="1" w:styleId="64">
    <w:name w:val="标准文件_参考文献标题"/>
    <w:basedOn w:val="1"/>
    <w:next w:val="1"/>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5">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7">
    <w:name w:val="标准文件_发布"/>
    <w:uiPriority w:val="0"/>
    <w:rPr>
      <w:rFonts w:ascii="黑体" w:eastAsia="黑体"/>
      <w:spacing w:val="0"/>
      <w:w w:val="100"/>
      <w:position w:val="3"/>
      <w:sz w:val="28"/>
    </w:rPr>
  </w:style>
  <w:style w:type="paragraph" w:customStyle="1" w:styleId="68">
    <w:name w:val="标准文件_方框数字列项"/>
    <w:basedOn w:val="57"/>
    <w:uiPriority w:val="0"/>
    <w:pPr>
      <w:numPr>
        <w:ilvl w:val="0"/>
        <w:numId w:val="3"/>
      </w:numPr>
      <w:ind w:firstLine="0" w:firstLineChars="0"/>
    </w:pPr>
  </w:style>
  <w:style w:type="paragraph" w:customStyle="1" w:styleId="69">
    <w:name w:val="标准文件_封面标准编号"/>
    <w:basedOn w:val="1"/>
    <w:next w:val="60"/>
    <w:uiPriority w:val="0"/>
    <w:pPr>
      <w:spacing w:line="310" w:lineRule="exact"/>
      <w:jc w:val="right"/>
    </w:pPr>
    <w:rPr>
      <w:rFonts w:ascii="黑体" w:eastAsia="黑体"/>
      <w:kern w:val="0"/>
      <w:sz w:val="28"/>
    </w:rPr>
  </w:style>
  <w:style w:type="paragraph" w:customStyle="1" w:styleId="70">
    <w:name w:val="标准文件_封面标准分类号"/>
    <w:basedOn w:val="1"/>
    <w:uiPriority w:val="0"/>
    <w:rPr>
      <w:rFonts w:ascii="黑体" w:eastAsia="黑体"/>
      <w:b/>
      <w:kern w:val="0"/>
      <w:sz w:val="28"/>
    </w:rPr>
  </w:style>
  <w:style w:type="paragraph" w:customStyle="1" w:styleId="71">
    <w:name w:val="标准文件_封面标准名称"/>
    <w:basedOn w:val="1"/>
    <w:uiPriority w:val="0"/>
    <w:pPr>
      <w:spacing w:line="240" w:lineRule="auto"/>
      <w:jc w:val="center"/>
    </w:pPr>
    <w:rPr>
      <w:rFonts w:ascii="黑体" w:eastAsia="黑体"/>
      <w:kern w:val="0"/>
      <w:sz w:val="52"/>
    </w:rPr>
  </w:style>
  <w:style w:type="paragraph" w:customStyle="1" w:styleId="72">
    <w:name w:val="标准文件_封面标准英文名称"/>
    <w:basedOn w:val="1"/>
    <w:uiPriority w:val="0"/>
    <w:pPr>
      <w:spacing w:line="240" w:lineRule="auto"/>
      <w:jc w:val="center"/>
    </w:pPr>
    <w:rPr>
      <w:rFonts w:ascii="黑体" w:eastAsia="黑体"/>
      <w:b/>
      <w:sz w:val="28"/>
    </w:rPr>
  </w:style>
  <w:style w:type="paragraph" w:customStyle="1" w:styleId="73">
    <w:name w:val="标准文件_封面发布日期"/>
    <w:basedOn w:val="1"/>
    <w:uiPriority w:val="0"/>
    <w:pPr>
      <w:spacing w:line="310" w:lineRule="exact"/>
    </w:pPr>
    <w:rPr>
      <w:rFonts w:ascii="黑体" w:eastAsia="黑体"/>
      <w:kern w:val="0"/>
      <w:sz w:val="28"/>
    </w:rPr>
  </w:style>
  <w:style w:type="paragraph" w:customStyle="1" w:styleId="74">
    <w:name w:val="标准文件_封面密级"/>
    <w:basedOn w:val="1"/>
    <w:uiPriority w:val="0"/>
    <w:rPr>
      <w:rFonts w:eastAsia="黑体"/>
      <w:sz w:val="32"/>
    </w:rPr>
  </w:style>
  <w:style w:type="paragraph" w:customStyle="1" w:styleId="75">
    <w:name w:val="标准文件_封面实施日期"/>
    <w:basedOn w:val="1"/>
    <w:uiPriority w:val="0"/>
    <w:pPr>
      <w:spacing w:line="310" w:lineRule="exact"/>
      <w:jc w:val="right"/>
    </w:pPr>
    <w:rPr>
      <w:rFonts w:ascii="黑体" w:eastAsia="黑体"/>
      <w:sz w:val="28"/>
    </w:rPr>
  </w:style>
  <w:style w:type="paragraph" w:customStyle="1" w:styleId="76">
    <w:name w:val="标准文件_封面抬头"/>
    <w:basedOn w:val="57"/>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uiPriority w:val="0"/>
    <w:rPr>
      <w:rFonts w:ascii="Times New Roman" w:hAnsi="Times New Roman" w:eastAsia="宋体" w:cs="Times New Roman"/>
      <w:szCs w:val="20"/>
    </w:rPr>
  </w:style>
  <w:style w:type="paragraph" w:customStyle="1" w:styleId="88">
    <w:name w:val="标准文件_附录章标题"/>
    <w:next w:val="57"/>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uiPriority w:val="0"/>
    <w:pPr>
      <w:ind w:left="488" w:leftChars="200" w:hanging="289" w:hangingChars="290"/>
    </w:pPr>
  </w:style>
  <w:style w:type="paragraph" w:customStyle="1" w:styleId="90">
    <w:name w:val="标准文件_前言、引言标题"/>
    <w:next w:val="1"/>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uiPriority w:val="0"/>
    <w:pPr>
      <w:spacing w:line="460" w:lineRule="exact"/>
    </w:pPr>
  </w:style>
  <w:style w:type="paragraph" w:customStyle="1" w:styleId="92">
    <w:name w:val="标准文件_目录标题"/>
    <w:basedOn w:val="1"/>
    <w:uiPriority w:val="0"/>
    <w:pPr>
      <w:spacing w:afterLines="150" w:line="240" w:lineRule="auto"/>
      <w:jc w:val="center"/>
    </w:pPr>
    <w:rPr>
      <w:rFonts w:ascii="黑体" w:eastAsia="黑体"/>
      <w:sz w:val="32"/>
    </w:rPr>
  </w:style>
  <w:style w:type="paragraph" w:customStyle="1" w:styleId="93">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uiPriority w:val="0"/>
    <w:pPr>
      <w:numPr>
        <w:numId w:val="10"/>
      </w:numPr>
      <w:ind w:left="0" w:firstLine="200"/>
    </w:pPr>
  </w:style>
  <w:style w:type="paragraph" w:customStyle="1" w:styleId="95">
    <w:name w:val="标准文件_三级条标题"/>
    <w:basedOn w:val="66"/>
    <w:next w:val="57"/>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uiPriority w:val="0"/>
    <w:pPr>
      <w:adjustRightInd/>
      <w:spacing w:line="240" w:lineRule="auto"/>
      <w:ind w:firstLine="200" w:firstLineChars="200"/>
    </w:pPr>
    <w:rPr>
      <w:sz w:val="18"/>
      <w:szCs w:val="24"/>
    </w:rPr>
  </w:style>
  <w:style w:type="paragraph" w:customStyle="1" w:styleId="98">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uiPriority w:val="0"/>
    <w:rPr>
      <w:rFonts w:ascii="宋体" w:hAnsi="Times New Roman" w:eastAsia="宋体" w:cs="Times New Roman"/>
      <w:sz w:val="18"/>
      <w:szCs w:val="18"/>
    </w:rPr>
  </w:style>
  <w:style w:type="paragraph" w:customStyle="1" w:styleId="101">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uiPriority w:val="0"/>
    <w:pPr>
      <w:numPr>
        <w:ilvl w:val="0"/>
        <w:numId w:val="12"/>
      </w:numPr>
      <w:spacing w:line="240" w:lineRule="auto"/>
      <w:jc w:val="left"/>
    </w:pPr>
    <w:rPr>
      <w:rFonts w:ascii="宋体" w:hAnsi="宋体"/>
      <w:sz w:val="18"/>
    </w:rPr>
  </w:style>
  <w:style w:type="character" w:customStyle="1" w:styleId="103">
    <w:name w:val="标准文件_图表脚注内容"/>
    <w:uiPriority w:val="0"/>
    <w:rPr>
      <w:rFonts w:ascii="宋体" w:hAnsi="宋体" w:eastAsia="宋体" w:cs="Times New Roman"/>
      <w:spacing w:val="0"/>
      <w:sz w:val="18"/>
      <w:vertAlign w:val="superscript"/>
    </w:rPr>
  </w:style>
  <w:style w:type="paragraph" w:customStyle="1" w:styleId="104">
    <w:name w:val="标准文件_五级条标题"/>
    <w:next w:val="57"/>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uiPriority w:val="0"/>
    <w:pPr>
      <w:numPr>
        <w:ilvl w:val="2"/>
      </w:numPr>
      <w:spacing w:beforeLines="50" w:afterLines="50"/>
      <w:outlineLvl w:val="1"/>
    </w:pPr>
  </w:style>
  <w:style w:type="paragraph" w:customStyle="1" w:styleId="107">
    <w:name w:val="标准文件_一致程度"/>
    <w:basedOn w:val="1"/>
    <w:uiPriority w:val="0"/>
    <w:pPr>
      <w:spacing w:line="440" w:lineRule="exact"/>
      <w:jc w:val="center"/>
    </w:pPr>
    <w:rPr>
      <w:sz w:val="28"/>
    </w:rPr>
  </w:style>
  <w:style w:type="paragraph" w:customStyle="1" w:styleId="108">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uiPriority w:val="0"/>
    <w:pPr>
      <w:numPr>
        <w:ilvl w:val="3"/>
        <w:numId w:val="20"/>
      </w:numPr>
      <w:adjustRightInd/>
      <w:spacing w:line="240" w:lineRule="auto"/>
    </w:pPr>
    <w:rPr>
      <w:rFonts w:ascii="宋体" w:hAnsi="宋体"/>
      <w:szCs w:val="24"/>
    </w:rPr>
  </w:style>
  <w:style w:type="paragraph" w:customStyle="1" w:styleId="120">
    <w:name w:val="发布部门"/>
    <w:next w:val="57"/>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uiPriority w:val="0"/>
    <w:pPr>
      <w:outlineLvl w:val="4"/>
    </w:pPr>
  </w:style>
  <w:style w:type="paragraph" w:customStyle="1" w:styleId="131">
    <w:name w:val="附录四级无标题条"/>
    <w:basedOn w:val="130"/>
    <w:next w:val="57"/>
    <w:uiPriority w:val="0"/>
    <w:pPr>
      <w:outlineLvl w:val="5"/>
    </w:pPr>
  </w:style>
  <w:style w:type="paragraph" w:customStyle="1" w:styleId="132">
    <w:name w:val="附录图"/>
    <w:next w:val="57"/>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uiPriority w:val="0"/>
    <w:pPr>
      <w:outlineLvl w:val="6"/>
    </w:pPr>
  </w:style>
  <w:style w:type="paragraph" w:customStyle="1" w:styleId="135">
    <w:name w:val="附录性质"/>
    <w:basedOn w:val="1"/>
    <w:uiPriority w:val="0"/>
    <w:pPr>
      <w:widowControl/>
      <w:adjustRightInd/>
      <w:jc w:val="center"/>
    </w:pPr>
    <w:rPr>
      <w:rFonts w:ascii="黑体" w:eastAsia="黑体"/>
    </w:rPr>
  </w:style>
  <w:style w:type="paragraph" w:customStyle="1" w:styleId="136">
    <w:name w:val="附录一级无标题条"/>
    <w:basedOn w:val="88"/>
    <w:next w:val="57"/>
    <w:uiPriority w:val="0"/>
    <w:pPr>
      <w:autoSpaceDN w:val="0"/>
      <w:outlineLvl w:val="2"/>
    </w:pPr>
    <w:rPr>
      <w:rFonts w:ascii="宋体" w:hAnsi="宋体" w:eastAsia="宋体"/>
    </w:rPr>
  </w:style>
  <w:style w:type="character" w:customStyle="1" w:styleId="137">
    <w:name w:val="个人答复风格"/>
    <w:uiPriority w:val="0"/>
    <w:rPr>
      <w:rFonts w:ascii="Arial" w:hAnsi="Arial" w:eastAsia="宋体" w:cs="Arial"/>
      <w:color w:val="auto"/>
      <w:spacing w:val="0"/>
      <w:sz w:val="20"/>
    </w:rPr>
  </w:style>
  <w:style w:type="character" w:customStyle="1" w:styleId="138">
    <w:name w:val="个人撰写风格"/>
    <w:uiPriority w:val="0"/>
    <w:rPr>
      <w:rFonts w:ascii="Arial" w:hAnsi="Arial" w:eastAsia="宋体" w:cs="Arial"/>
      <w:color w:val="auto"/>
      <w:spacing w:val="0"/>
      <w:sz w:val="20"/>
    </w:rPr>
  </w:style>
  <w:style w:type="paragraph" w:customStyle="1" w:styleId="139">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uiPriority w:val="0"/>
    <w:pPr>
      <w:tabs>
        <w:tab w:val="left" w:pos="840"/>
      </w:tabs>
    </w:pPr>
  </w:style>
  <w:style w:type="paragraph" w:customStyle="1" w:styleId="142">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uiPriority w:val="0"/>
    <w:pPr>
      <w:adjustRightInd/>
      <w:spacing w:line="240" w:lineRule="auto"/>
      <w:jc w:val="left"/>
    </w:pPr>
    <w:rPr>
      <w:bCs/>
      <w:iCs/>
    </w:rPr>
  </w:style>
  <w:style w:type="paragraph" w:customStyle="1" w:styleId="144">
    <w:name w:val="目录 31"/>
    <w:basedOn w:val="1"/>
    <w:next w:val="1"/>
    <w:semiHidden/>
    <w:uiPriority w:val="0"/>
    <w:pPr>
      <w:spacing w:line="240" w:lineRule="auto"/>
    </w:pPr>
    <w:rPr>
      <w:rFonts w:ascii="宋体" w:hAnsi="宋体"/>
      <w:iCs/>
    </w:rPr>
  </w:style>
  <w:style w:type="paragraph" w:customStyle="1" w:styleId="145">
    <w:name w:val="目录 41"/>
    <w:basedOn w:val="1"/>
    <w:next w:val="1"/>
    <w:semiHidden/>
    <w:uiPriority w:val="0"/>
    <w:pPr>
      <w:adjustRightInd/>
      <w:spacing w:line="240" w:lineRule="auto"/>
      <w:jc w:val="left"/>
    </w:pPr>
  </w:style>
  <w:style w:type="paragraph" w:customStyle="1" w:styleId="146">
    <w:name w:val="目录 51"/>
    <w:basedOn w:val="1"/>
    <w:next w:val="1"/>
    <w:semiHidden/>
    <w:uiPriority w:val="0"/>
    <w:pPr>
      <w:spacing w:line="240" w:lineRule="auto"/>
    </w:pPr>
    <w:rPr>
      <w:rFonts w:ascii="宋体" w:hAnsi="宋体"/>
    </w:rPr>
  </w:style>
  <w:style w:type="paragraph" w:customStyle="1" w:styleId="147">
    <w:name w:val="目录 61"/>
    <w:basedOn w:val="1"/>
    <w:next w:val="1"/>
    <w:semiHidden/>
    <w:uiPriority w:val="0"/>
    <w:pPr>
      <w:adjustRightInd/>
      <w:spacing w:line="240" w:lineRule="auto"/>
      <w:jc w:val="left"/>
    </w:pPr>
  </w:style>
  <w:style w:type="paragraph" w:customStyle="1" w:styleId="148">
    <w:name w:val="目录 71"/>
    <w:basedOn w:val="147"/>
    <w:semiHidden/>
    <w:uiPriority w:val="0"/>
    <w:pPr>
      <w:ind w:left="1260"/>
    </w:pPr>
  </w:style>
  <w:style w:type="paragraph" w:customStyle="1" w:styleId="149">
    <w:name w:val="目录 81"/>
    <w:basedOn w:val="148"/>
    <w:semiHidden/>
    <w:uiPriority w:val="0"/>
    <w:pPr>
      <w:ind w:left="1470"/>
    </w:pPr>
  </w:style>
  <w:style w:type="paragraph" w:customStyle="1" w:styleId="150">
    <w:name w:val="目录 91"/>
    <w:basedOn w:val="149"/>
    <w:semiHidden/>
    <w:uiPriority w:val="0"/>
    <w:pPr>
      <w:ind w:left="1680"/>
    </w:pPr>
  </w:style>
  <w:style w:type="paragraph" w:customStyle="1" w:styleId="151">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uiPriority w:val="0"/>
    <w:pPr>
      <w:framePr w:wrap="around"/>
      <w:spacing w:line="0" w:lineRule="atLeast"/>
    </w:pPr>
    <w:rPr>
      <w:rFonts w:ascii="黑体" w:eastAsia="黑体"/>
      <w:b w:val="0"/>
    </w:rPr>
  </w:style>
  <w:style w:type="paragraph" w:customStyle="1" w:styleId="153">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uiPriority w:val="0"/>
    <w:pPr>
      <w:numPr>
        <w:ilvl w:val="4"/>
        <w:numId w:val="20"/>
      </w:numPr>
      <w:adjustRightInd/>
      <w:spacing w:line="240" w:lineRule="auto"/>
    </w:pPr>
    <w:rPr>
      <w:rFonts w:ascii="宋体" w:hAnsi="宋体"/>
      <w:szCs w:val="24"/>
    </w:rPr>
  </w:style>
  <w:style w:type="paragraph" w:customStyle="1" w:styleId="155">
    <w:name w:val="实施日期"/>
    <w:basedOn w:val="121"/>
    <w:uiPriority w:val="0"/>
    <w:pPr>
      <w:framePr w:hSpace="0" w:wrap="around" w:xAlign="right"/>
      <w:jc w:val="right"/>
    </w:pPr>
  </w:style>
  <w:style w:type="paragraph" w:customStyle="1" w:styleId="156">
    <w:name w:val="四级无标题条"/>
    <w:basedOn w:val="1"/>
    <w:uiPriority w:val="0"/>
    <w:pPr>
      <w:numPr>
        <w:ilvl w:val="5"/>
        <w:numId w:val="20"/>
      </w:numPr>
      <w:adjustRightInd/>
      <w:spacing w:line="240" w:lineRule="auto"/>
    </w:pPr>
    <w:rPr>
      <w:rFonts w:ascii="宋体" w:hAnsi="宋体"/>
      <w:szCs w:val="24"/>
    </w:rPr>
  </w:style>
  <w:style w:type="paragraph" w:customStyle="1" w:styleId="157">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uiPriority w:val="0"/>
    <w:pPr>
      <w:jc w:val="both"/>
    </w:pPr>
    <w:rPr>
      <w:rFonts w:ascii="宋体" w:hAnsi="宋体" w:eastAsia="宋体" w:cs="Times New Roman"/>
      <w:sz w:val="21"/>
      <w:lang w:val="en-US" w:eastAsia="zh-CN" w:bidi="ar-SA"/>
    </w:rPr>
  </w:style>
  <w:style w:type="paragraph" w:customStyle="1" w:styleId="159">
    <w:name w:val="五级无标题条"/>
    <w:basedOn w:val="1"/>
    <w:uiPriority w:val="0"/>
    <w:pPr>
      <w:numPr>
        <w:ilvl w:val="6"/>
        <w:numId w:val="20"/>
      </w:numPr>
      <w:adjustRightInd/>
    </w:pPr>
    <w:rPr>
      <w:szCs w:val="24"/>
    </w:rPr>
  </w:style>
  <w:style w:type="paragraph" w:customStyle="1" w:styleId="160">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1">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uiPriority w:val="0"/>
    <w:rPr>
      <w:rFonts w:ascii="宋体" w:hAnsi="Times New Roman" w:eastAsia="宋体" w:cs="Times New Roman"/>
      <w:sz w:val="21"/>
      <w:lang w:val="en-US" w:eastAsia="zh-CN" w:bidi="ar-SA"/>
    </w:rPr>
  </w:style>
  <w:style w:type="paragraph" w:customStyle="1" w:styleId="173">
    <w:name w:val="标准文件_三级项"/>
    <w:basedOn w:val="1"/>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uiPriority w:val="0"/>
    <w:pPr>
      <w:framePr w:w="3997" w:h="471" w:hRule="exact" w:hSpace="0" w:vSpace="181" w:wrap="around" w:vAnchor="page" w:hAnchor="page" w:x="1419" w:y="14097"/>
    </w:pPr>
  </w:style>
  <w:style w:type="paragraph" w:customStyle="1" w:styleId="195">
    <w:name w:val="其他实施日期"/>
    <w:basedOn w:val="155"/>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next w:val="57"/>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uiPriority w:val="0"/>
    <w:rPr>
      <w:rFonts w:ascii="黑体" w:eastAsia="黑体"/>
      <w:spacing w:val="85"/>
      <w:w w:val="100"/>
      <w:position w:val="3"/>
      <w:sz w:val="28"/>
      <w:szCs w:val="28"/>
    </w:rPr>
  </w:style>
  <w:style w:type="character" w:customStyle="1" w:styleId="231">
    <w:name w:val="段 Char"/>
    <w:link w:val="232"/>
    <w:uiPriority w:val="0"/>
    <w:rPr>
      <w:rFonts w:ascii="宋体"/>
      <w:sz w:val="21"/>
    </w:rPr>
  </w:style>
  <w:style w:type="paragraph" w:customStyle="1" w:styleId="232">
    <w:name w:val="段"/>
    <w:link w:val="231"/>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3">
    <w:name w:val="二级无"/>
    <w:basedOn w:val="1"/>
    <w:uiPriority w:val="0"/>
    <w:pPr>
      <w:widowControl/>
      <w:numPr>
        <w:ilvl w:val="2"/>
        <w:numId w:val="7"/>
      </w:numPr>
      <w:adjustRightInd/>
      <w:spacing w:line="240" w:lineRule="auto"/>
      <w:jc w:val="left"/>
      <w:outlineLvl w:val="3"/>
    </w:pPr>
    <w:rPr>
      <w:rFonts w:ascii="宋体" w:hAnsi="Times New Roman"/>
      <w:kern w:val="0"/>
    </w:rPr>
  </w:style>
  <w:style w:type="paragraph" w:customStyle="1" w:styleId="234">
    <w:name w:val="一级条标题"/>
    <w:next w:val="232"/>
    <w:uiPriority w:val="0"/>
    <w:pPr>
      <w:numPr>
        <w:ilvl w:val="1"/>
        <w:numId w:val="7"/>
      </w:numPr>
      <w:spacing w:beforeLines="50"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32925FBBC104B199A7D742B6B82A22B"/>
        <w:style w:val=""/>
        <w:category>
          <w:name w:val="常规"/>
          <w:gallery w:val="placeholder"/>
        </w:category>
        <w:types>
          <w:type w:val="bbPlcHdr"/>
        </w:types>
        <w:behaviors>
          <w:behavior w:val="content"/>
        </w:behaviors>
        <w:description w:val=""/>
        <w:guid w:val="{10F6FA9C-DCE4-4832-B4D8-DC26BEAF086F}"/>
      </w:docPartPr>
      <w:docPartBody>
        <w:p>
          <w:pPr>
            <w:pStyle w:val="5"/>
          </w:pPr>
          <w:r>
            <w:rPr>
              <w:rStyle w:val="4"/>
              <w:rFonts w:hint="eastAsia"/>
            </w:rPr>
            <w:t>单击或点击此处输入文字。</w:t>
          </w:r>
        </w:p>
      </w:docPartBody>
    </w:docPart>
    <w:docPart>
      <w:docPartPr>
        <w:name w:val="6A72A8838AA34363973BD3ACFE8E79DA"/>
        <w:style w:val=""/>
        <w:category>
          <w:name w:val="常规"/>
          <w:gallery w:val="placeholder"/>
        </w:category>
        <w:types>
          <w:type w:val="bbPlcHdr"/>
        </w:types>
        <w:behaviors>
          <w:behavior w:val="content"/>
        </w:behaviors>
        <w:description w:val=""/>
        <w:guid w:val="{294FEFC1-6EF6-47C0-BF7C-FD30AAAAA08D}"/>
      </w:docPartPr>
      <w:docPartBody>
        <w:p>
          <w:pPr>
            <w:pStyle w:val="6"/>
          </w:pPr>
          <w:r>
            <w:rPr>
              <w:rStyle w:val="4"/>
              <w:rFonts w:hint="eastAsia"/>
            </w:rPr>
            <w:t>选择一项。</w:t>
          </w:r>
        </w:p>
      </w:docPartBody>
    </w:docPart>
    <w:docPart>
      <w:docPartPr>
        <w:name w:val="6D1B6D8EF7AA455A8F1B61145BBFCE97"/>
        <w:style w:val=""/>
        <w:category>
          <w:name w:val="常规"/>
          <w:gallery w:val="placeholder"/>
        </w:category>
        <w:types>
          <w:type w:val="bbPlcHdr"/>
        </w:types>
        <w:behaviors>
          <w:behavior w:val="content"/>
        </w:behaviors>
        <w:description w:val=""/>
        <w:guid w:val="{495E5FCA-8D44-44D2-8A90-0944723961D4}"/>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1458"/>
    <w:rsid w:val="000006B6"/>
    <w:rsid w:val="00202E2D"/>
    <w:rsid w:val="002F2B9E"/>
    <w:rsid w:val="003605B0"/>
    <w:rsid w:val="003D53C0"/>
    <w:rsid w:val="00531E39"/>
    <w:rsid w:val="0059118B"/>
    <w:rsid w:val="005B5965"/>
    <w:rsid w:val="005C1030"/>
    <w:rsid w:val="0060072A"/>
    <w:rsid w:val="00813419"/>
    <w:rsid w:val="00906B3E"/>
    <w:rsid w:val="00946C0B"/>
    <w:rsid w:val="00951BA1"/>
    <w:rsid w:val="00AB7DA5"/>
    <w:rsid w:val="00E16FC0"/>
    <w:rsid w:val="00E56FDA"/>
    <w:rsid w:val="00E66ACB"/>
    <w:rsid w:val="00EF1458"/>
    <w:rsid w:val="00FD0B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C32925FBBC104B199A7D742B6B82A22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A72A8838AA34363973BD3ACFE8E79D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D1B6D8EF7AA455A8F1B61145BBFCE9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ABBA29-2B12-4B5D-BD7D-AF5C1F897DB9}">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7</Pages>
  <Words>477</Words>
  <Characters>2724</Characters>
  <Lines>22</Lines>
  <Paragraphs>6</Paragraphs>
  <TotalTime>1178</TotalTime>
  <ScaleCrop>false</ScaleCrop>
  <LinksUpToDate>false</LinksUpToDate>
  <CharactersWithSpaces>3195</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2021-02-18T03:17:00Z</dcterms:created>
  <dc:creator>Administrator</dc:creator>
  <dc:description>&lt;config cover="true" show_menu="true" version="1.0.0" doctype="SDKXY"&gt;_x000d_
&lt;/config&gt;</dc:description>
  <cp:lastModifiedBy>大猩猩</cp:lastModifiedBy>
  <cp:lastPrinted>2021-02-02T08:22:00Z</cp:lastPrinted>
  <dcterms:modified xsi:type="dcterms:W3CDTF">2021-08-10T08:11:50Z</dcterms:modified>
  <dc:title>团体标准</dc:title>
  <cp:revision>336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2052-11.1.0.10503</vt:lpwstr>
  </property>
  <property fmtid="{D5CDD505-2E9C-101B-9397-08002B2CF9AE}" pid="16" name="ICV">
    <vt:lpwstr>C607AA3BFCF046568B40306B2F861F0F</vt:lpwstr>
  </property>
</Properties>
</file>