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auto"/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T/GZTPA </w:t>
      </w:r>
    </w:p>
    <w:p>
      <w:pPr>
        <w:jc w:val="center"/>
        <w:rPr>
          <w:rFonts w:ascii="宋体"/>
          <w:color w:val="000000"/>
          <w:sz w:val="72"/>
          <w:szCs w:val="72"/>
        </w:rPr>
      </w:pPr>
      <w:r>
        <w:rPr>
          <w:rFonts w:hint="eastAsia" w:ascii="黑体" w:hAnsi="宋体" w:eastAsia="黑体"/>
          <w:sz w:val="52"/>
          <w:szCs w:val="52"/>
        </w:rPr>
        <w:t>团</w:t>
      </w:r>
      <w:r>
        <w:rPr>
          <w:rFonts w:ascii="黑体" w:hAnsi="宋体" w:eastAsia="黑体"/>
          <w:sz w:val="52"/>
          <w:szCs w:val="52"/>
        </w:rPr>
        <w:t xml:space="preserve"> </w:t>
      </w:r>
      <w:r>
        <w:rPr>
          <w:rFonts w:hint="eastAsia" w:ascii="黑体" w:hAnsi="宋体" w:eastAsia="黑体"/>
          <w:sz w:val="52"/>
          <w:szCs w:val="52"/>
        </w:rPr>
        <w:t>体</w:t>
      </w:r>
      <w:r>
        <w:rPr>
          <w:rFonts w:ascii="黑体" w:hAnsi="宋体" w:eastAsia="黑体"/>
          <w:sz w:val="52"/>
          <w:szCs w:val="52"/>
        </w:rPr>
        <w:t xml:space="preserve"> </w:t>
      </w:r>
      <w:r>
        <w:rPr>
          <w:rFonts w:hint="eastAsia" w:ascii="黑体" w:hAnsi="宋体" w:eastAsia="黑体"/>
          <w:sz w:val="52"/>
          <w:szCs w:val="52"/>
        </w:rPr>
        <w:t>标</w:t>
      </w:r>
      <w:r>
        <w:rPr>
          <w:rFonts w:ascii="黑体" w:hAnsi="宋体" w:eastAsia="黑体"/>
          <w:sz w:val="52"/>
          <w:szCs w:val="52"/>
        </w:rPr>
        <w:t xml:space="preserve"> </w:t>
      </w:r>
      <w:r>
        <w:rPr>
          <w:rFonts w:hint="eastAsia" w:ascii="黑体" w:hAnsi="宋体" w:eastAsia="黑体"/>
          <w:sz w:val="52"/>
          <w:szCs w:val="52"/>
        </w:rPr>
        <w:t>准</w:t>
      </w:r>
    </w:p>
    <w:p>
      <w:pPr>
        <w:ind w:left="9516" w:leftChars="198" w:hanging="9100" w:hangingChars="3250"/>
        <w:jc w:val="righ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highlight w:val="yellow"/>
        </w:rPr>
        <w:t>T/GZTPA000</w:t>
      </w:r>
      <w:r>
        <w:rPr>
          <w:rFonts w:hint="eastAsia" w:ascii="黑体" w:hAnsi="黑体" w:eastAsia="黑体"/>
          <w:sz w:val="28"/>
          <w:szCs w:val="28"/>
          <w:highlight w:val="yellow"/>
        </w:rPr>
        <w:t>6</w:t>
      </w:r>
      <w:r>
        <w:rPr>
          <w:rFonts w:ascii="黑体" w:hAnsi="黑体" w:eastAsia="黑体"/>
          <w:sz w:val="28"/>
          <w:szCs w:val="28"/>
        </w:rPr>
        <w:t>--2018</w:t>
      </w:r>
    </w:p>
    <w:p>
      <w:pPr>
        <w:rPr>
          <w:rFonts w:ascii="宋体"/>
          <w:sz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125730</wp:posOffset>
                </wp:positionV>
                <wp:extent cx="6096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25pt;margin-top:9.9pt;height:0pt;width:480pt;z-index:1024;mso-width-relative:page;mso-height-relative:page;" filled="f" stroked="t" coordsize="21600,21600" o:gfxdata="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EB2w1wAAAAkBAAAPAAAAAAAAAAEAIAAAACIAAABkcnMv&#10;ZG93bnJldi54bWxQSwECFAAUAAAACACHTuJAIceL2MsBAACOAwAADgAAAAAAAAABACAAAAAm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ind w:firstLine="3900" w:firstLineChars="75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梵净碾茶</w:t>
      </w:r>
    </w:p>
    <w:p>
      <w:pPr>
        <w:ind w:firstLine="3920" w:firstLineChars="14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Fanjing</w:t>
      </w:r>
      <w:r>
        <w:rPr>
          <w:rFonts w:ascii="黑体" w:hAnsi="黑体" w:eastAsia="黑体"/>
          <w:sz w:val="28"/>
          <w:szCs w:val="28"/>
        </w:rPr>
        <w:t xml:space="preserve"> Tencha</w:t>
      </w:r>
    </w:p>
    <w:p>
      <w:pPr>
        <w:jc w:val="center"/>
        <w:rPr>
          <w:rFonts w:ascii="宋体"/>
          <w:sz w:val="28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（</w:t>
      </w:r>
      <w:r>
        <w:rPr>
          <w:rFonts w:hint="eastAsia"/>
          <w:sz w:val="24"/>
          <w:lang w:eastAsia="zh-CN"/>
        </w:rPr>
        <w:t>审定</w:t>
      </w:r>
      <w:r>
        <w:rPr>
          <w:rFonts w:hint="eastAsia"/>
          <w:sz w:val="24"/>
        </w:rPr>
        <w:t>稿）</w:t>
      </w: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spacing w:line="240" w:lineRule="atLeast"/>
        <w:rPr>
          <w:rFonts w:ascii="宋体"/>
          <w:sz w:val="30"/>
          <w:szCs w:val="30"/>
        </w:rPr>
      </w:pPr>
    </w:p>
    <w:p>
      <w:pPr>
        <w:spacing w:line="240" w:lineRule="atLeast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240" w:lineRule="atLeast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240" w:lineRule="atLeast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240" w:lineRule="atLeast"/>
        <w:ind w:firstLine="420" w:firstLineChars="150"/>
        <w:jc w:val="left"/>
        <w:rPr>
          <w:rFonts w:ascii="宋体"/>
          <w:sz w:val="30"/>
          <w:szCs w:val="30"/>
        </w:rPr>
      </w:pPr>
      <w:r>
        <w:rPr>
          <w:rFonts w:ascii="黑体" w:hAnsi="黑体" w:eastAsia="黑体"/>
          <w:color w:val="0070C0"/>
          <w:sz w:val="28"/>
          <w:szCs w:val="28"/>
        </w:rPr>
        <w:t>2018-</w:t>
      </w:r>
      <w:r>
        <w:rPr>
          <w:rFonts w:hint="eastAsia" w:ascii="黑体" w:hAnsi="黑体" w:eastAsia="黑体"/>
          <w:color w:val="0070C0"/>
          <w:sz w:val="28"/>
          <w:szCs w:val="28"/>
        </w:rPr>
        <w:t>1</w:t>
      </w:r>
      <w:r>
        <w:rPr>
          <w:rFonts w:hint="eastAsia" w:ascii="黑体" w:hAnsi="黑体" w:eastAsia="黑体"/>
          <w:color w:val="0070C0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color w:val="0070C0"/>
          <w:sz w:val="28"/>
          <w:szCs w:val="28"/>
        </w:rPr>
        <w:t>-</w:t>
      </w:r>
      <w:r>
        <w:rPr>
          <w:rFonts w:hint="eastAsia" w:ascii="黑体" w:hAnsi="黑体" w:eastAsia="黑体"/>
          <w:color w:val="0070C0"/>
          <w:sz w:val="28"/>
          <w:szCs w:val="28"/>
        </w:rPr>
        <w:t>0</w:t>
      </w:r>
      <w:r>
        <w:rPr>
          <w:rFonts w:ascii="黑体" w:hAnsi="黑体" w:eastAsia="黑体"/>
          <w:color w:val="0070C0"/>
          <w:sz w:val="28"/>
          <w:szCs w:val="28"/>
        </w:rPr>
        <w:t>1</w:t>
      </w:r>
      <w:r>
        <w:rPr>
          <w:rFonts w:hint="eastAsia" w:ascii="黑体" w:hAnsi="黑体" w:eastAsia="黑体"/>
          <w:color w:val="0070C0"/>
          <w:sz w:val="28"/>
          <w:szCs w:val="28"/>
        </w:rPr>
        <w:t>发布</w:t>
      </w:r>
      <w:r>
        <w:rPr>
          <w:rFonts w:ascii="宋体" w:hAnsi="宋体"/>
          <w:color w:val="0070C0"/>
          <w:sz w:val="30"/>
          <w:szCs w:val="30"/>
        </w:rPr>
        <w:t xml:space="preserve">                            </w:t>
      </w:r>
      <w:r>
        <w:rPr>
          <w:rFonts w:ascii="黑体" w:hAnsi="黑体" w:eastAsia="黑体"/>
          <w:color w:val="0070C0"/>
          <w:sz w:val="28"/>
          <w:szCs w:val="28"/>
        </w:rPr>
        <w:t>2019-01-01</w:t>
      </w:r>
      <w:r>
        <w:rPr>
          <w:rFonts w:hint="eastAsia" w:ascii="黑体" w:hAnsi="黑体" w:eastAsia="黑体"/>
          <w:color w:val="0070C0"/>
          <w:sz w:val="28"/>
          <w:szCs w:val="28"/>
        </w:rPr>
        <w:t>实施</w:t>
      </w:r>
    </w:p>
    <w:p>
      <w:pPr>
        <w:spacing w:line="240" w:lineRule="exact"/>
        <w:rPr>
          <w:rFonts w:asci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96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9pt;height:0pt;width:480pt;z-index:1024;mso-width-relative:page;mso-height-relative:page;" filled="f" stroked="t" coordsize="21600,21600" o:gfxdata="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/lNdEAAAAEAQAADwAAAAAAAAABACAAAAAiAAAAZHJzL2Rvd25y&#10;ZXYueG1sUEsBAhQAFAAAAAgAh07iQBNZdubMAQAAjgMAAA4AAAAAAAAAAQAgAAAAIA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beforeLines="100"/>
        <w:jc w:val="center"/>
        <w:rPr>
          <w:rFonts w:ascii="宋体"/>
          <w:b/>
          <w:szCs w:val="32"/>
        </w:rPr>
      </w:pPr>
      <w:r>
        <w:rPr>
          <w:rFonts w:hint="eastAsia" w:ascii="宋体" w:hAnsi="宋体"/>
          <w:b/>
          <w:sz w:val="36"/>
          <w:szCs w:val="36"/>
          <w:highlight w:val="yellow"/>
        </w:rPr>
        <w:t>贵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州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省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绿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茶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品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牌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发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展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促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进</w:t>
      </w:r>
      <w:r>
        <w:rPr>
          <w:rFonts w:ascii="宋体" w:hAnsi="宋体"/>
          <w:b/>
          <w:sz w:val="36"/>
          <w:szCs w:val="36"/>
          <w:highlight w:val="yellow"/>
        </w:rPr>
        <w:t xml:space="preserve"> </w:t>
      </w:r>
      <w:r>
        <w:rPr>
          <w:rFonts w:hint="eastAsia" w:ascii="宋体" w:hAnsi="宋体"/>
          <w:b/>
          <w:sz w:val="36"/>
          <w:szCs w:val="36"/>
          <w:highlight w:val="yellow"/>
        </w:rPr>
        <w:t>会</w:t>
      </w:r>
      <w:r>
        <w:rPr>
          <w:rFonts w:ascii="宋体" w:hAnsi="宋体"/>
          <w:b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发布</w:t>
      </w:r>
    </w:p>
    <w:p>
      <w:pPr>
        <w:spacing w:line="860" w:lineRule="exact"/>
        <w:jc w:val="center"/>
        <w:rPr>
          <w:rFonts w:ascii="宋体"/>
          <w:b/>
          <w:szCs w:val="32"/>
        </w:rPr>
        <w:sectPr>
          <w:headerReference r:id="rId4" w:type="first"/>
          <w:headerReference r:id="rId3" w:type="default"/>
          <w:footerReference r:id="rId5" w:type="default"/>
          <w:pgSz w:w="12240" w:h="15840"/>
          <w:pgMar w:top="907" w:right="1134" w:bottom="794" w:left="1418" w:header="567" w:footer="680" w:gutter="0"/>
          <w:cols w:space="720" w:num="1"/>
          <w:titlePg/>
          <w:docGrid w:type="lines" w:linePitch="312" w:charSpace="0"/>
        </w:sectPr>
      </w:pPr>
    </w:p>
    <w:p>
      <w:pPr>
        <w:spacing w:line="860" w:lineRule="exact"/>
        <w:jc w:val="center"/>
        <w:rPr>
          <w:rFonts w:ascii="宋体"/>
          <w:b/>
          <w:szCs w:val="32"/>
        </w:rPr>
      </w:pPr>
    </w:p>
    <w:p>
      <w:pPr>
        <w:ind w:firstLine="199" w:firstLineChars="62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录</w:t>
      </w:r>
    </w:p>
    <w:p>
      <w:pPr>
        <w:spacing w:line="680" w:lineRule="exact"/>
        <w:ind w:firstLine="130" w:firstLineChars="62"/>
        <w:jc w:val="center"/>
      </w:pP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前言</w:t>
      </w:r>
      <w:r>
        <w:rPr>
          <w:rFonts w:hint="eastAsia"/>
        </w:rPr>
        <w:fldChar w:fldCharType="begin"/>
      </w:r>
      <w:r>
        <w:instrText xml:space="preserve"> HYPERLINK \l "_Toc20028" </w:instrText>
      </w:r>
      <w:r>
        <w:rPr>
          <w:rFonts w:hint="eastAsia"/>
        </w:rPr>
        <w:fldChar w:fldCharType="separate"/>
      </w:r>
      <w:r>
        <w:rPr>
          <w:rFonts w:ascii="宋体"/>
          <w:sz w:val="21"/>
          <w:szCs w:val="21"/>
        </w:rPr>
        <w:tab/>
      </w:r>
      <w:r>
        <w:rPr>
          <w:rFonts w:hint="eastAsia" w:ascii="宋体"/>
          <w:sz w:val="21"/>
          <w:szCs w:val="21"/>
        </w:rPr>
        <w:t>Ⅲ</w:t>
      </w:r>
      <w:r>
        <w:rPr>
          <w:rFonts w:hint="eastAsia" w:asci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"_Toc20028"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1 </w:t>
      </w:r>
      <w:r>
        <w:rPr>
          <w:rFonts w:hint="eastAsia" w:ascii="宋体" w:hAnsi="宋体"/>
          <w:sz w:val="21"/>
          <w:szCs w:val="21"/>
        </w:rPr>
        <w:t>范围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"_Toc6263"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2 </w:t>
      </w:r>
      <w:r>
        <w:rPr>
          <w:rFonts w:hint="eastAsia" w:ascii="宋体" w:hAnsi="宋体"/>
          <w:sz w:val="21"/>
          <w:szCs w:val="21"/>
        </w:rPr>
        <w:t>规范性引用文件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"_Toc6263"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3 </w:t>
      </w:r>
      <w:r>
        <w:rPr>
          <w:rFonts w:hint="eastAsia" w:ascii="宋体" w:hAnsi="宋体"/>
          <w:sz w:val="21"/>
          <w:szCs w:val="21"/>
        </w:rPr>
        <w:t>术语和定义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"_Toc17011"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分级与实物标准样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"_Toc8657"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5 </w:t>
      </w:r>
      <w:r>
        <w:rPr>
          <w:rFonts w:hint="eastAsia" w:ascii="宋体" w:hAnsi="宋体"/>
          <w:sz w:val="21"/>
          <w:szCs w:val="21"/>
        </w:rPr>
        <w:t>技术要求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"_Toc16297"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6 </w:t>
      </w:r>
      <w:r>
        <w:rPr>
          <w:rFonts w:hint="eastAsia" w:ascii="宋体" w:hAnsi="宋体"/>
          <w:sz w:val="21"/>
          <w:szCs w:val="21"/>
        </w:rPr>
        <w:t>检验方法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"_Toc16297"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7 </w:t>
      </w:r>
      <w:r>
        <w:rPr>
          <w:rFonts w:hint="eastAsia" w:ascii="宋体" w:hAnsi="宋体"/>
          <w:sz w:val="21"/>
          <w:szCs w:val="21"/>
        </w:rPr>
        <w:t>检验规则</w:t>
      </w:r>
      <w:r>
        <w:rPr>
          <w:rFonts w:asci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4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"_Toc7626"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8 </w:t>
      </w:r>
      <w:r>
        <w:rPr>
          <w:rFonts w:hint="eastAsia" w:ascii="宋体" w:hAnsi="宋体"/>
          <w:sz w:val="21"/>
          <w:szCs w:val="21"/>
        </w:rPr>
        <w:t>标志标签、包装、运输和贮存</w:t>
      </w:r>
      <w:r>
        <w:rPr>
          <w:rFonts w:ascii="宋体"/>
          <w:sz w:val="21"/>
          <w:szCs w:val="21"/>
        </w:rPr>
        <w:tab/>
      </w:r>
      <w:r>
        <w:rPr>
          <w:rFonts w:asci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5</w:t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rFonts w:ascii="宋体"/>
          <w:sz w:val="21"/>
          <w:szCs w:val="21"/>
        </w:rPr>
      </w:pPr>
      <w:r>
        <w:fldChar w:fldCharType="begin"/>
      </w:r>
      <w:r>
        <w:instrText xml:space="preserve"> HYPERLINK \l "_Toc7626" </w:instrText>
      </w:r>
      <w:r>
        <w:fldChar w:fldCharType="separate"/>
      </w:r>
      <w:r>
        <w:rPr>
          <w:rFonts w:ascii="宋体" w:hAnsi="宋体"/>
          <w:sz w:val="21"/>
          <w:szCs w:val="21"/>
        </w:rPr>
        <w:t xml:space="preserve">9 </w:t>
      </w:r>
      <w:r>
        <w:rPr>
          <w:rFonts w:hint="eastAsia" w:ascii="宋体" w:hAnsi="宋体"/>
          <w:sz w:val="21"/>
          <w:szCs w:val="21"/>
        </w:rPr>
        <w:t>附录</w:t>
      </w:r>
      <w:r>
        <w:rPr>
          <w:rFonts w:ascii="宋体"/>
          <w:sz w:val="21"/>
          <w:szCs w:val="21"/>
        </w:rPr>
        <w:tab/>
      </w:r>
      <w:r>
        <w:rPr>
          <w:rFonts w:asci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6</w:t>
      </w:r>
    </w:p>
    <w:p>
      <w:pPr>
        <w:pStyle w:val="53"/>
        <w:tabs>
          <w:tab w:val="right" w:leader="dot" w:pos="8647"/>
        </w:tabs>
        <w:spacing w:line="360" w:lineRule="auto"/>
        <w:ind w:firstLine="420"/>
        <w:rPr>
          <w:sz w:val="21"/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spacing w:line="343" w:lineRule="auto"/>
        <w:jc w:val="center"/>
        <w:rPr>
          <w:b/>
          <w:sz w:val="72"/>
          <w:szCs w:val="72"/>
        </w:rPr>
      </w:pPr>
    </w:p>
    <w:p>
      <w:pPr>
        <w:spacing w:line="343" w:lineRule="auto"/>
        <w:jc w:val="center"/>
        <w:rPr>
          <w:b/>
          <w:sz w:val="72"/>
          <w:szCs w:val="72"/>
        </w:rPr>
      </w:pPr>
    </w:p>
    <w:p>
      <w:pPr>
        <w:spacing w:line="343" w:lineRule="auto"/>
        <w:jc w:val="center"/>
        <w:rPr>
          <w:b/>
          <w:sz w:val="72"/>
          <w:szCs w:val="72"/>
        </w:rPr>
      </w:pPr>
    </w:p>
    <w:p>
      <w:pPr>
        <w:spacing w:line="343" w:lineRule="auto"/>
        <w:jc w:val="center"/>
        <w:rPr>
          <w:b/>
          <w:sz w:val="72"/>
          <w:szCs w:val="72"/>
        </w:rPr>
      </w:pPr>
    </w:p>
    <w:p>
      <w:pPr>
        <w:spacing w:line="343" w:lineRule="auto"/>
        <w:jc w:val="center"/>
        <w:rPr>
          <w:rFonts w:hint="eastAsia"/>
          <w:b/>
          <w:sz w:val="72"/>
          <w:szCs w:val="72"/>
        </w:rPr>
      </w:pPr>
    </w:p>
    <w:p>
      <w:pPr>
        <w:spacing w:line="343" w:lineRule="auto"/>
        <w:jc w:val="both"/>
        <w:rPr>
          <w:rFonts w:ascii="宋体"/>
          <w:sz w:val="32"/>
          <w:szCs w:val="32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907" w:right="1134" w:bottom="794" w:left="1418" w:header="567" w:footer="680" w:gutter="0"/>
          <w:pgNumType w:fmt="upperRoman" w:start="1"/>
          <w:cols w:space="720" w:num="1"/>
          <w:titlePg/>
          <w:docGrid w:type="lines" w:linePitch="312" w:charSpace="0"/>
        </w:sectPr>
      </w:pPr>
    </w:p>
    <w:p>
      <w:pPr>
        <w:spacing w:line="343" w:lineRule="auto"/>
        <w:rPr>
          <w:rFonts w:ascii="宋体"/>
          <w:sz w:val="32"/>
          <w:szCs w:val="32"/>
        </w:rPr>
      </w:pPr>
    </w:p>
    <w:p>
      <w:pPr>
        <w:spacing w:line="343" w:lineRule="auto"/>
        <w:rPr>
          <w:rFonts w:ascii="宋体"/>
          <w:sz w:val="32"/>
          <w:szCs w:val="32"/>
        </w:rPr>
      </w:pPr>
    </w:p>
    <w:p>
      <w:pPr>
        <w:spacing w:line="343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前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言</w:t>
      </w:r>
    </w:p>
    <w:p>
      <w:pPr>
        <w:spacing w:line="680" w:lineRule="exact"/>
        <w:ind w:firstLine="420" w:firstLineChars="200"/>
        <w:rPr>
          <w:rFonts w:ascii="宋体"/>
          <w:color w:val="000000"/>
          <w:szCs w:val="21"/>
        </w:rPr>
      </w:pPr>
    </w:p>
    <w:p>
      <w:pPr>
        <w:spacing w:line="360" w:lineRule="auto"/>
        <w:ind w:firstLine="407" w:firstLineChars="194"/>
        <w:rPr>
          <w:rFonts w:ascii="宋体"/>
        </w:rPr>
      </w:pPr>
      <w:r>
        <w:rPr>
          <w:rFonts w:hint="eastAsia" w:ascii="宋体" w:hAnsi="宋体"/>
        </w:rPr>
        <w:t>本标准按照</w:t>
      </w:r>
      <w:r>
        <w:rPr>
          <w:rFonts w:ascii="宋体" w:hAnsi="宋体"/>
        </w:rPr>
        <w:t>GB/T 1.1</w:t>
      </w:r>
      <w:r>
        <w:rPr>
          <w:rFonts w:hint="eastAsia" w:ascii="宋体" w:hAnsi="宋体"/>
        </w:rPr>
        <w:t>－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《标准化工作导则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部分：标准的结构和编写》给出的规则和国家茶叶标准的相关规定而起草。</w:t>
      </w:r>
    </w:p>
    <w:p>
      <w:pPr>
        <w:spacing w:line="360" w:lineRule="auto"/>
        <w:ind w:firstLine="407" w:firstLineChars="194"/>
        <w:rPr>
          <w:rFonts w:ascii="宋体"/>
        </w:rPr>
      </w:pPr>
      <w:r>
        <w:rPr>
          <w:rFonts w:hint="eastAsia" w:ascii="宋体" w:hAnsi="宋体"/>
        </w:rPr>
        <w:t>本标准由铜仁市茶叶行业协会提出。</w:t>
      </w:r>
    </w:p>
    <w:p>
      <w:pPr>
        <w:spacing w:line="360" w:lineRule="auto"/>
        <w:ind w:firstLine="407" w:firstLineChars="194"/>
        <w:rPr>
          <w:rFonts w:ascii="宋体"/>
        </w:rPr>
      </w:pPr>
      <w:r>
        <w:rPr>
          <w:rFonts w:hint="eastAsia" w:ascii="宋体" w:hAnsi="宋体"/>
        </w:rPr>
        <w:t>本标准由贵州省绿茶品牌发展促进会归口。</w:t>
      </w:r>
    </w:p>
    <w:p>
      <w:pPr>
        <w:spacing w:line="360" w:lineRule="auto"/>
        <w:ind w:firstLine="407" w:firstLineChars="194"/>
        <w:rPr>
          <w:rFonts w:ascii="宋体"/>
        </w:rPr>
      </w:pPr>
      <w:r>
        <w:rPr>
          <w:rFonts w:hint="eastAsia" w:ascii="宋体" w:hAnsi="宋体"/>
        </w:rPr>
        <w:t>本标准主要起草单位：铜仁市茶叶行业协会、贵州省绿茶品牌发展促进会、贵州铜仁贵茶茶业股份有限公司、贵州省农业科学院茶叶研究所</w:t>
      </w:r>
    </w:p>
    <w:p>
      <w:pPr>
        <w:spacing w:line="360" w:lineRule="auto"/>
        <w:ind w:firstLine="407" w:firstLineChars="194"/>
        <w:rPr>
          <w:rFonts w:ascii="宋体"/>
        </w:rPr>
      </w:pPr>
      <w:r>
        <w:rPr>
          <w:rFonts w:hint="eastAsia" w:ascii="宋体" w:hAnsi="宋体"/>
        </w:rPr>
        <w:t>本标准主要起草人:肖楚、徐嘉民、韦勇、马芝新、安波、强自高、温顺位、胡清爽、白志文、牟春林、魏建伟。</w:t>
      </w:r>
    </w:p>
    <w:p>
      <w:pPr>
        <w:spacing w:line="360" w:lineRule="auto"/>
        <w:ind w:firstLine="407" w:firstLineChars="194"/>
        <w:rPr>
          <w:rFonts w:ascii="宋体"/>
        </w:rPr>
      </w:pPr>
    </w:p>
    <w:p>
      <w:pPr>
        <w:spacing w:line="360" w:lineRule="auto"/>
        <w:ind w:firstLine="407" w:firstLineChars="194"/>
        <w:rPr>
          <w:rFonts w:ascii="宋体" w:hAnsi="宋体"/>
        </w:rPr>
      </w:pPr>
    </w:p>
    <w:p>
      <w:pPr>
        <w:spacing w:line="360" w:lineRule="auto"/>
        <w:ind w:firstLine="407" w:firstLineChars="194"/>
        <w:rPr>
          <w:rFonts w:ascii="宋体" w:hAnsi="宋体"/>
        </w:rPr>
      </w:pPr>
    </w:p>
    <w:p>
      <w:pPr>
        <w:spacing w:line="360" w:lineRule="auto"/>
        <w:ind w:firstLine="407" w:firstLineChars="194"/>
        <w:rPr>
          <w:rFonts w:ascii="宋体"/>
        </w:rPr>
      </w:pPr>
    </w:p>
    <w:p/>
    <w:p/>
    <w:p/>
    <w:p/>
    <w:p/>
    <w:p/>
    <w:p/>
    <w:p/>
    <w:p/>
    <w:p/>
    <w:p/>
    <w:p/>
    <w:p/>
    <w:p/>
    <w:p>
      <w:pPr>
        <w:spacing w:line="500" w:lineRule="exact"/>
        <w:jc w:val="center"/>
        <w:rPr>
          <w:rFonts w:hint="eastAsia"/>
        </w:rPr>
      </w:pPr>
    </w:p>
    <w:p>
      <w:pPr>
        <w:spacing w:line="500" w:lineRule="exact"/>
        <w:jc w:val="center"/>
        <w:rPr>
          <w:rFonts w:hint="eastAsia"/>
        </w:rPr>
      </w:pPr>
    </w:p>
    <w:p>
      <w:pPr>
        <w:spacing w:line="500" w:lineRule="exact"/>
        <w:jc w:val="center"/>
        <w:rPr>
          <w:rFonts w:ascii="黑体" w:eastAsia="黑体"/>
          <w:bCs/>
          <w:sz w:val="32"/>
        </w:rPr>
      </w:pPr>
    </w:p>
    <w:p>
      <w:pPr>
        <w:spacing w:line="500" w:lineRule="exact"/>
        <w:jc w:val="center"/>
        <w:rPr>
          <w:rFonts w:ascii="黑体" w:eastAsia="黑体"/>
          <w:bCs/>
          <w:sz w:val="32"/>
        </w:rPr>
        <w:sectPr>
          <w:headerReference r:id="rId13" w:type="first"/>
          <w:footerReference r:id="rId15" w:type="first"/>
          <w:headerReference r:id="rId12" w:type="even"/>
          <w:footerReference r:id="rId14" w:type="even"/>
          <w:pgSz w:w="12240" w:h="15840"/>
          <w:pgMar w:top="907" w:right="1134" w:bottom="794" w:left="1418" w:header="567" w:footer="680" w:gutter="0"/>
          <w:pgNumType w:fmt="upperRoman" w:start="3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center"/>
        <w:rPr>
          <w:rFonts w:ascii="黑体" w:eastAsia="黑体"/>
          <w:bCs/>
        </w:rPr>
      </w:pPr>
      <w:r>
        <w:rPr>
          <w:rFonts w:hint="eastAsia" w:ascii="黑体" w:eastAsia="黑体"/>
          <w:bCs/>
          <w:sz w:val="32"/>
        </w:rPr>
        <w:t>梵净碾茶</w:t>
      </w:r>
    </w:p>
    <w:p>
      <w:pPr>
        <w:spacing w:before="100" w:beforeAutospacing="1" w:after="100" w:afterAutospacing="1"/>
        <w:rPr>
          <w:rFonts w:ascii="黑体" w:hAnsi="宋体" w:eastAsia="黑体"/>
          <w:bCs/>
        </w:rPr>
      </w:pPr>
      <w:r>
        <w:rPr>
          <w:rFonts w:ascii="黑体" w:hAnsi="宋体" w:eastAsia="黑体"/>
          <w:bCs/>
        </w:rPr>
        <w:t>1</w:t>
      </w:r>
      <w:r>
        <w:rPr>
          <w:rFonts w:ascii="黑体" w:hAnsi="黑体" w:eastAsia="黑体"/>
          <w:szCs w:val="24"/>
        </w:rPr>
        <w:t xml:space="preserve">  </w:t>
      </w:r>
      <w:r>
        <w:rPr>
          <w:rFonts w:hint="eastAsia" w:ascii="黑体" w:hAnsi="黑体" w:eastAsia="黑体"/>
          <w:szCs w:val="24"/>
        </w:rPr>
        <w:t>范围</w:t>
      </w:r>
    </w:p>
    <w:p>
      <w:pPr>
        <w:pStyle w:val="42"/>
        <w:spacing w:line="360" w:lineRule="auto"/>
        <w:ind w:firstLine="42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本标准规定了梵净碾茶的</w:t>
      </w:r>
      <w:r>
        <w:rPr>
          <w:rFonts w:hint="eastAsia" w:ascii="宋体" w:hAnsi="宋体"/>
        </w:rPr>
        <w:t>规范性引用文件、术语和定义、分级与实物标准样、产品要求、检验方法、检验规则及标志标签、包装、运输与贮存，审评方法等要求。</w:t>
      </w:r>
    </w:p>
    <w:p>
      <w:pPr>
        <w:pStyle w:val="42"/>
        <w:spacing w:line="360" w:lineRule="auto"/>
        <w:ind w:firstLine="420"/>
      </w:pPr>
      <w:r>
        <w:rPr>
          <w:rFonts w:hint="eastAsia"/>
        </w:rPr>
        <w:t>本标准适用于贵州省绿茶品牌发展促进会会员单位生产的梵净碾茶。</w:t>
      </w:r>
    </w:p>
    <w:p>
      <w:pPr>
        <w:pStyle w:val="34"/>
        <w:tabs>
          <w:tab w:val="clear" w:pos="360"/>
        </w:tabs>
        <w:spacing w:before="100" w:beforeAutospacing="1" w:after="100" w:afterAutospacing="1"/>
      </w:pPr>
      <w:r>
        <w:t xml:space="preserve">2  </w:t>
      </w:r>
      <w:r>
        <w:rPr>
          <w:rFonts w:hint="eastAsia"/>
        </w:rPr>
        <w:t>规范性引用文件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420" w:lineRule="exact"/>
        <w:ind w:firstLine="420" w:firstLineChars="200"/>
      </w:pPr>
      <w:r>
        <w:t xml:space="preserve">GB/T 191       </w:t>
      </w:r>
      <w:r>
        <w:rPr>
          <w:rFonts w:hint="eastAsia"/>
        </w:rPr>
        <w:t>包装运输图示标志</w:t>
      </w:r>
    </w:p>
    <w:p>
      <w:pPr>
        <w:spacing w:line="420" w:lineRule="exact"/>
        <w:ind w:firstLine="420" w:firstLineChars="200"/>
      </w:pPr>
      <w:r>
        <w:t xml:space="preserve">GB 2762        </w:t>
      </w:r>
      <w:r>
        <w:rPr>
          <w:rFonts w:hint="eastAsia"/>
        </w:rPr>
        <w:t>食品安全国家标准</w:t>
      </w:r>
      <w:r>
        <w:t xml:space="preserve">  </w:t>
      </w:r>
      <w:r>
        <w:rPr>
          <w:rFonts w:hint="eastAsia"/>
        </w:rPr>
        <w:t>食品中污染物限量</w:t>
      </w:r>
    </w:p>
    <w:p>
      <w:pPr>
        <w:spacing w:line="420" w:lineRule="exact"/>
        <w:ind w:firstLine="420" w:firstLineChars="200"/>
      </w:pPr>
      <w:r>
        <w:t xml:space="preserve">GB 2763        </w:t>
      </w:r>
      <w:r>
        <w:rPr>
          <w:rFonts w:hint="eastAsia"/>
        </w:rPr>
        <w:t>食品安全国家标准</w:t>
      </w:r>
      <w:r>
        <w:t xml:space="preserve">  </w:t>
      </w:r>
      <w:r>
        <w:rPr>
          <w:rFonts w:hint="eastAsia"/>
        </w:rPr>
        <w:t>食品中农药残留最大限量</w:t>
      </w:r>
    </w:p>
    <w:p>
      <w:pPr>
        <w:spacing w:line="420" w:lineRule="exact"/>
        <w:ind w:firstLine="420" w:firstLineChars="200"/>
      </w:pPr>
      <w:r>
        <w:t xml:space="preserve">GB 5009.3      </w:t>
      </w:r>
      <w:r>
        <w:rPr>
          <w:rFonts w:hint="eastAsia"/>
        </w:rPr>
        <w:t>食品安全国家标准</w:t>
      </w:r>
      <w:r>
        <w:t xml:space="preserve">  </w:t>
      </w:r>
      <w:r>
        <w:rPr>
          <w:rFonts w:hint="eastAsia"/>
        </w:rPr>
        <w:t>食品中水分的测定</w:t>
      </w:r>
    </w:p>
    <w:p>
      <w:pPr>
        <w:spacing w:line="420" w:lineRule="exact"/>
        <w:ind w:firstLine="420" w:firstLineChars="200"/>
      </w:pPr>
      <w:r>
        <w:t xml:space="preserve">GB 5009.4      </w:t>
      </w:r>
      <w:r>
        <w:rPr>
          <w:rFonts w:hint="eastAsia"/>
        </w:rPr>
        <w:t>食品安全国家标准</w:t>
      </w:r>
      <w:r>
        <w:t xml:space="preserve">  </w:t>
      </w:r>
      <w:r>
        <w:rPr>
          <w:rFonts w:hint="eastAsia"/>
        </w:rPr>
        <w:t>食品中灰分的测定</w:t>
      </w:r>
    </w:p>
    <w:p>
      <w:pPr>
        <w:spacing w:line="420" w:lineRule="exact"/>
        <w:ind w:firstLine="420" w:firstLineChars="200"/>
      </w:pPr>
      <w:r>
        <w:t xml:space="preserve">GB 7718        </w:t>
      </w:r>
      <w:r>
        <w:rPr>
          <w:rFonts w:hint="eastAsia"/>
        </w:rPr>
        <w:t>预包装食品标签通则</w:t>
      </w:r>
    </w:p>
    <w:p>
      <w:pPr>
        <w:spacing w:line="420" w:lineRule="exact"/>
        <w:ind w:firstLine="420" w:firstLineChars="200"/>
      </w:pPr>
      <w:r>
        <w:t xml:space="preserve">GB/T 8302      </w:t>
      </w:r>
      <w:r>
        <w:rPr>
          <w:rFonts w:hint="eastAsia"/>
        </w:rPr>
        <w:t>茶</w:t>
      </w:r>
      <w:r>
        <w:t xml:space="preserve">  </w:t>
      </w:r>
      <w:r>
        <w:rPr>
          <w:rFonts w:hint="eastAsia"/>
        </w:rPr>
        <w:t>取样</w:t>
      </w:r>
    </w:p>
    <w:p>
      <w:pPr>
        <w:spacing w:line="420" w:lineRule="exact"/>
        <w:ind w:firstLine="420" w:firstLineChars="200"/>
      </w:pPr>
      <w:r>
        <w:t xml:space="preserve">GB/T 8311      </w:t>
      </w:r>
      <w:r>
        <w:rPr>
          <w:rFonts w:hint="eastAsia"/>
        </w:rPr>
        <w:t>茶</w:t>
      </w:r>
      <w:r>
        <w:t xml:space="preserve">  </w:t>
      </w:r>
      <w:r>
        <w:rPr>
          <w:rFonts w:hint="eastAsia"/>
        </w:rPr>
        <w:t>粉末和碎茶含量测定</w:t>
      </w:r>
    </w:p>
    <w:p>
      <w:pPr>
        <w:spacing w:line="420" w:lineRule="exact"/>
        <w:ind w:firstLine="420" w:firstLineChars="200"/>
      </w:pPr>
      <w:r>
        <w:t xml:space="preserve">GB/T 14487     </w:t>
      </w:r>
      <w:r>
        <w:rPr>
          <w:rFonts w:hint="eastAsia"/>
        </w:rPr>
        <w:t>茶叶感官审评术语</w:t>
      </w:r>
    </w:p>
    <w:p>
      <w:pPr>
        <w:spacing w:line="420" w:lineRule="exact"/>
        <w:ind w:firstLine="420" w:firstLineChars="200"/>
      </w:pPr>
      <w:r>
        <w:t xml:space="preserve">GB/T 18795     </w:t>
      </w:r>
      <w:r>
        <w:rPr>
          <w:rFonts w:hint="eastAsia"/>
        </w:rPr>
        <w:t>茶叶标准样品制备技术条件</w:t>
      </w:r>
    </w:p>
    <w:p>
      <w:pPr>
        <w:spacing w:line="420" w:lineRule="exact"/>
        <w:ind w:firstLine="420" w:firstLineChars="200"/>
      </w:pPr>
      <w:r>
        <w:t xml:space="preserve">GB/T 18797     </w:t>
      </w:r>
      <w:r>
        <w:rPr>
          <w:rFonts w:hint="eastAsia"/>
        </w:rPr>
        <w:t>茶叶感官审评室基本条件</w:t>
      </w:r>
    </w:p>
    <w:p>
      <w:pPr>
        <w:spacing w:line="420" w:lineRule="exact"/>
        <w:ind w:firstLine="420" w:firstLineChars="200"/>
      </w:pPr>
      <w:r>
        <w:t xml:space="preserve">GB/T 23193     </w:t>
      </w:r>
      <w:r>
        <w:rPr>
          <w:rFonts w:hint="eastAsia"/>
        </w:rPr>
        <w:t>茶叶中茶氨酸的测定</w:t>
      </w:r>
      <w:r>
        <w:t xml:space="preserve">  </w:t>
      </w:r>
      <w:r>
        <w:rPr>
          <w:rFonts w:hint="eastAsia"/>
        </w:rPr>
        <w:t>高效液相色谱法</w:t>
      </w:r>
    </w:p>
    <w:p>
      <w:pPr>
        <w:spacing w:line="420" w:lineRule="exact"/>
        <w:ind w:firstLine="420" w:firstLineChars="200"/>
      </w:pPr>
      <w:r>
        <w:t xml:space="preserve">GB/T 23350     </w:t>
      </w:r>
      <w:r>
        <w:rPr>
          <w:rFonts w:hint="eastAsia"/>
        </w:rPr>
        <w:t>限制商品过度包装要求</w:t>
      </w:r>
      <w:r>
        <w:t xml:space="preserve">  </w:t>
      </w:r>
      <w:r>
        <w:rPr>
          <w:rFonts w:hint="eastAsia"/>
        </w:rPr>
        <w:t>食品和化妆品</w:t>
      </w:r>
    </w:p>
    <w:p>
      <w:pPr>
        <w:spacing w:line="420" w:lineRule="exact"/>
        <w:ind w:firstLine="420" w:firstLineChars="200"/>
      </w:pPr>
      <w:r>
        <w:t xml:space="preserve">GB/T 23776     </w:t>
      </w:r>
      <w:r>
        <w:rPr>
          <w:rFonts w:hint="eastAsia"/>
        </w:rPr>
        <w:t>茶叶感官审评方法</w:t>
      </w:r>
    </w:p>
    <w:p>
      <w:pPr>
        <w:spacing w:line="420" w:lineRule="exact"/>
        <w:ind w:firstLine="420" w:firstLineChars="200"/>
      </w:pPr>
      <w:r>
        <w:t xml:space="preserve">GB/T 30375     </w:t>
      </w:r>
      <w:r>
        <w:rPr>
          <w:rFonts w:hint="eastAsia"/>
        </w:rPr>
        <w:t>茶叶贮存</w:t>
      </w:r>
    </w:p>
    <w:p>
      <w:pPr>
        <w:spacing w:line="420" w:lineRule="exact"/>
        <w:ind w:firstLine="420" w:firstLineChars="200"/>
      </w:pPr>
      <w:r>
        <w:t xml:space="preserve">GH/T 1070      </w:t>
      </w:r>
      <w:r>
        <w:rPr>
          <w:rFonts w:hint="eastAsia"/>
        </w:rPr>
        <w:t>茶叶包装通则</w:t>
      </w:r>
    </w:p>
    <w:p>
      <w:pPr>
        <w:spacing w:line="420" w:lineRule="exact"/>
        <w:ind w:firstLine="420" w:firstLineChars="200"/>
      </w:pPr>
      <w:r>
        <w:t xml:space="preserve">JJF1070        </w:t>
      </w:r>
      <w:r>
        <w:rPr>
          <w:rFonts w:hint="eastAsia"/>
        </w:rPr>
        <w:t>定量包装商品净含量计量检验规则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国家质量监督检验检疫总局</w:t>
      </w:r>
      <w:r>
        <w:t>[2005]</w:t>
      </w:r>
      <w:r>
        <w:rPr>
          <w:rFonts w:hint="eastAsia"/>
        </w:rPr>
        <w:t>第</w:t>
      </w:r>
      <w:r>
        <w:t>75</w:t>
      </w:r>
      <w:r>
        <w:rPr>
          <w:rFonts w:hint="eastAsia"/>
        </w:rPr>
        <w:t>号令</w:t>
      </w:r>
      <w:r>
        <w:t xml:space="preserve">  </w:t>
      </w:r>
      <w:r>
        <w:rPr>
          <w:rFonts w:hint="eastAsia"/>
        </w:rPr>
        <w:t xml:space="preserve"> 定量包装商品计量监督管理办法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国家质量监督检验检疫总局</w:t>
      </w:r>
      <w:r>
        <w:t>[2009]</w:t>
      </w:r>
      <w:r>
        <w:rPr>
          <w:rFonts w:hint="eastAsia"/>
        </w:rPr>
        <w:t>第</w:t>
      </w:r>
      <w:r>
        <w:t>123</w:t>
      </w:r>
      <w:r>
        <w:rPr>
          <w:rFonts w:hint="eastAsia"/>
        </w:rPr>
        <w:t>号令</w:t>
      </w:r>
      <w:r>
        <w:t xml:space="preserve"> </w:t>
      </w:r>
      <w:r>
        <w:rPr>
          <w:rFonts w:hint="eastAsia"/>
        </w:rPr>
        <w:t xml:space="preserve"> 食品标识管理规定</w:t>
      </w:r>
    </w:p>
    <w:p>
      <w:pPr>
        <w:spacing w:line="420" w:lineRule="exact"/>
        <w:ind w:firstLine="420" w:firstLineChars="200"/>
      </w:pPr>
      <w:r>
        <w:t>T/ GZTPA 000</w:t>
      </w:r>
      <w:r>
        <w:rPr>
          <w:rFonts w:hint="eastAsia"/>
        </w:rPr>
        <w:t>5</w:t>
      </w:r>
      <w:r>
        <w:t xml:space="preserve">  </w:t>
      </w:r>
      <w:r>
        <w:rPr>
          <w:rFonts w:hint="eastAsia"/>
        </w:rPr>
        <w:t>梵净抹茶</w:t>
      </w:r>
    </w:p>
    <w:p>
      <w:pPr>
        <w:spacing w:line="420" w:lineRule="exact"/>
        <w:ind w:firstLine="420" w:firstLineChars="200"/>
        <w:rPr>
          <w:rFonts w:hint="eastAsia"/>
        </w:rPr>
      </w:pPr>
      <w:r>
        <w:t>T/ GZTPA 000</w:t>
      </w:r>
      <w:r>
        <w:rPr>
          <w:rFonts w:hint="eastAsia"/>
        </w:rPr>
        <w:t>7</w:t>
      </w:r>
      <w:r>
        <w:t xml:space="preserve">  </w:t>
      </w:r>
      <w:r>
        <w:rPr>
          <w:rFonts w:hint="eastAsia"/>
        </w:rPr>
        <w:t>梵净抹茶 加工技术规程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ascii="黑体" w:eastAsia="黑体"/>
          <w:bCs/>
          <w:color w:val="000000"/>
        </w:rPr>
      </w:pPr>
      <w:r>
        <w:rPr>
          <w:rFonts w:ascii="黑体" w:eastAsia="黑体"/>
          <w:bCs/>
          <w:color w:val="000000"/>
        </w:rPr>
        <w:t xml:space="preserve">3  </w:t>
      </w:r>
      <w:r>
        <w:rPr>
          <w:rFonts w:hint="eastAsia" w:ascii="黑体" w:eastAsia="黑体"/>
          <w:bCs/>
          <w:color w:val="000000"/>
        </w:rPr>
        <w:t>术语和定义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GB/T 14487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T/ GZTPA 0005</w:t>
      </w:r>
      <w:r>
        <w:rPr>
          <w:rFonts w:hint="eastAsia" w:ascii="宋体" w:hAnsi="宋体"/>
          <w:szCs w:val="21"/>
        </w:rPr>
        <w:t>界定的术语和定义适用于本标准。</w:t>
      </w:r>
    </w:p>
    <w:p>
      <w:pPr>
        <w:adjustRightInd w:val="0"/>
        <w:rPr>
          <w:rFonts w:ascii="宋体"/>
          <w:szCs w:val="21"/>
        </w:rPr>
      </w:pPr>
    </w:p>
    <w:p>
      <w:pPr>
        <w:numPr>
          <w:ilvl w:val="0"/>
          <w:numId w:val="2"/>
        </w:numPr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分级与实物标准样</w:t>
      </w:r>
    </w:p>
    <w:p>
      <w:pPr>
        <w:rPr>
          <w:rFonts w:ascii="黑体" w:eastAsia="黑体"/>
          <w:bCs/>
          <w:color w:val="000000"/>
        </w:rPr>
      </w:pP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4.1  </w:t>
      </w:r>
      <w:r>
        <w:rPr>
          <w:rFonts w:hint="eastAsia" w:ascii="宋体" w:hAnsi="宋体"/>
          <w:szCs w:val="21"/>
        </w:rPr>
        <w:t>梵净碾茶分为三个等级：特级、一级、二级。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4.2  </w:t>
      </w:r>
      <w:r>
        <w:rPr>
          <w:rFonts w:hint="eastAsia" w:ascii="宋体" w:hAnsi="宋体"/>
          <w:szCs w:val="21"/>
        </w:rPr>
        <w:t>产品的每一等级均设实物标准样，其品质为各级茶品质的最低限，每两年更换一次。标准样制备按</w:t>
      </w:r>
      <w:r>
        <w:rPr>
          <w:rFonts w:ascii="宋体" w:hAnsi="宋体"/>
          <w:szCs w:val="21"/>
        </w:rPr>
        <w:t>GB/T18795</w:t>
      </w:r>
      <w:r>
        <w:rPr>
          <w:rFonts w:hint="eastAsia" w:ascii="宋体" w:hAnsi="宋体"/>
          <w:szCs w:val="21"/>
        </w:rPr>
        <w:t>规定执行。</w:t>
      </w:r>
    </w:p>
    <w:p>
      <w:pPr>
        <w:numPr>
          <w:ilvl w:val="0"/>
          <w:numId w:val="2"/>
        </w:numPr>
        <w:rPr>
          <w:rFonts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产品要求</w:t>
      </w:r>
    </w:p>
    <w:p>
      <w:pPr>
        <w:pStyle w:val="47"/>
        <w:rPr>
          <w:rFonts w:ascii="黑体"/>
        </w:rPr>
      </w:pPr>
      <w:r>
        <w:rPr>
          <w:rFonts w:ascii="黑体" w:hAnsi="黑体"/>
        </w:rPr>
        <w:t xml:space="preserve">5.1  </w:t>
      </w:r>
      <w:r>
        <w:rPr>
          <w:rFonts w:hint="eastAsia" w:ascii="黑体" w:hAnsi="黑体"/>
        </w:rPr>
        <w:t>基本要求</w:t>
      </w:r>
    </w:p>
    <w:p>
      <w:pPr>
        <w:pStyle w:val="35"/>
        <w:ind w:firstLine="0"/>
        <w:rPr>
          <w:rFonts w:hAnsi="宋体"/>
        </w:rPr>
      </w:pPr>
      <w:r>
        <w:rPr>
          <w:rFonts w:hAnsi="宋体"/>
        </w:rPr>
        <w:t xml:space="preserve">5.1.1  </w:t>
      </w:r>
      <w:r>
        <w:rPr>
          <w:rFonts w:hint="eastAsia" w:hAnsi="宋体"/>
          <w:kern w:val="0"/>
          <w:szCs w:val="21"/>
        </w:rPr>
        <w:t>应具有梵净碾茶的品质特征。</w:t>
      </w:r>
    </w:p>
    <w:p>
      <w:pPr>
        <w:rPr>
          <w:rFonts w:ascii="宋体"/>
        </w:rPr>
      </w:pPr>
      <w:r>
        <w:rPr>
          <w:rFonts w:ascii="宋体" w:hAnsi="宋体"/>
        </w:rPr>
        <w:t xml:space="preserve">5.1.2  </w:t>
      </w:r>
      <w:r>
        <w:rPr>
          <w:rFonts w:hint="eastAsia" w:ascii="宋体" w:hAnsi="宋体"/>
        </w:rPr>
        <w:t>无非茶类夹杂物。</w:t>
      </w:r>
    </w:p>
    <w:p>
      <w:pPr>
        <w:rPr>
          <w:rFonts w:ascii="宋体"/>
        </w:rPr>
      </w:pPr>
      <w:r>
        <w:rPr>
          <w:rFonts w:ascii="宋体" w:hAnsi="宋体"/>
        </w:rPr>
        <w:t xml:space="preserve">5.1.3  </w:t>
      </w:r>
      <w:r>
        <w:rPr>
          <w:rFonts w:hint="eastAsia" w:ascii="宋体" w:hAnsi="宋体"/>
        </w:rPr>
        <w:t>不着色，无添加。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5.2</w:t>
      </w:r>
      <w:r>
        <w:rPr>
          <w:rFonts w:hint="eastAsia" w:ascii="黑体" w:hAnsi="宋体" w:eastAsia="黑体"/>
          <w:szCs w:val="21"/>
        </w:rPr>
        <w:t>感官品质</w:t>
      </w:r>
    </w:p>
    <w:p>
      <w:pPr>
        <w:widowControl/>
        <w:spacing w:line="360" w:lineRule="auto"/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感官品质应符合表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</w:rPr>
        <w:t>规定。</w:t>
      </w:r>
    </w:p>
    <w:p>
      <w:pPr>
        <w:widowControl/>
        <w:snapToGrid w:val="0"/>
        <w:spacing w:line="360" w:lineRule="auto"/>
        <w:jc w:val="center"/>
        <w:rPr>
          <w:rFonts w:ascii="黑体" w:hAnsi="宋体" w:eastAsia="黑体"/>
          <w:b/>
          <w:bCs/>
          <w:color w:val="000000"/>
          <w:kern w:val="0"/>
          <w:szCs w:val="21"/>
        </w:rPr>
      </w:pPr>
      <w:r>
        <w:rPr>
          <w:rFonts w:hint="eastAsia" w:ascii="黑体" w:hAnsi="宋体" w:eastAsia="黑体"/>
          <w:color w:val="000000"/>
          <w:kern w:val="0"/>
          <w:szCs w:val="21"/>
        </w:rPr>
        <w:t>表</w:t>
      </w:r>
      <w:r>
        <w:rPr>
          <w:rFonts w:ascii="黑体" w:hAnsi="宋体" w:eastAsia="黑体"/>
          <w:color w:val="000000"/>
          <w:kern w:val="0"/>
          <w:szCs w:val="21"/>
        </w:rPr>
        <w:t>1</w:t>
      </w:r>
      <w:r>
        <w:rPr>
          <w:rFonts w:hint="eastAsia" w:ascii="黑体" w:hAnsi="宋体" w:eastAsia="黑体"/>
          <w:color w:val="000000"/>
          <w:kern w:val="0"/>
          <w:szCs w:val="21"/>
        </w:rPr>
        <w:t>感官品质要求</w:t>
      </w:r>
    </w:p>
    <w:tbl>
      <w:tblPr>
        <w:tblStyle w:val="14"/>
        <w:tblW w:w="97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99"/>
        <w:gridCol w:w="1590"/>
        <w:gridCol w:w="1725"/>
        <w:gridCol w:w="1457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</w:t>
            </w:r>
          </w:p>
        </w:tc>
        <w:tc>
          <w:tcPr>
            <w:tcW w:w="6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汤色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香气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滋味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特级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呈片状，浓绿，油润，匀净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嫩绿明亮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覆盖香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显著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嫩匀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呈片状，绿润，较匀净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绿明亮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有覆盖香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醇和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嫩尚匀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呈片状，尚绿，尚匀净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浅黄绿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尚纯正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略带粗涩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尚嫩</w:t>
            </w:r>
          </w:p>
        </w:tc>
      </w:tr>
    </w:tbl>
    <w:p>
      <w:pPr>
        <w:rPr>
          <w:rFonts w:hint="eastAsia" w:ascii="黑体" w:hAnsi="宋体" w:eastAsia="黑体"/>
          <w:szCs w:val="21"/>
        </w:rPr>
      </w:pPr>
    </w:p>
    <w:p>
      <w:pPr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5.3</w:t>
      </w:r>
      <w:r>
        <w:rPr>
          <w:rFonts w:hint="eastAsia" w:ascii="黑体" w:hAnsi="宋体" w:eastAsia="黑体"/>
          <w:szCs w:val="21"/>
        </w:rPr>
        <w:t>理化指标</w:t>
      </w:r>
    </w:p>
    <w:p>
      <w:pPr>
        <w:widowControl/>
        <w:spacing w:line="324" w:lineRule="auto"/>
        <w:ind w:firstLine="42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理化指标应符合表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</w:rPr>
        <w:t>规定。</w:t>
      </w:r>
    </w:p>
    <w:p>
      <w:pPr>
        <w:widowControl/>
        <w:snapToGrid w:val="0"/>
        <w:spacing w:line="360" w:lineRule="auto"/>
        <w:jc w:val="center"/>
        <w:rPr>
          <w:rFonts w:ascii="黑体" w:hAnsi="宋体" w:eastAsia="黑体"/>
          <w:b/>
          <w:bCs/>
          <w:color w:val="000000"/>
          <w:kern w:val="0"/>
          <w:szCs w:val="21"/>
        </w:rPr>
      </w:pPr>
      <w:r>
        <w:rPr>
          <w:rFonts w:hint="eastAsia" w:ascii="黑体" w:hAnsi="宋体" w:eastAsia="黑体"/>
          <w:color w:val="000000"/>
          <w:kern w:val="0"/>
          <w:szCs w:val="21"/>
        </w:rPr>
        <w:t>表</w:t>
      </w:r>
      <w:r>
        <w:rPr>
          <w:rFonts w:ascii="黑体" w:eastAsia="黑体"/>
          <w:color w:val="000000"/>
          <w:kern w:val="0"/>
          <w:szCs w:val="21"/>
        </w:rPr>
        <w:t>2</w:t>
      </w:r>
      <w:r>
        <w:rPr>
          <w:rFonts w:hint="eastAsia" w:ascii="黑体" w:hAnsi="宋体" w:eastAsia="黑体"/>
          <w:color w:val="000000"/>
          <w:kern w:val="0"/>
          <w:szCs w:val="21"/>
        </w:rPr>
        <w:t>理化指标</w:t>
      </w:r>
    </w:p>
    <w:tbl>
      <w:tblPr>
        <w:tblStyle w:val="14"/>
        <w:tblW w:w="974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1678"/>
        <w:gridCol w:w="1678"/>
        <w:gridCol w:w="1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特级</w:t>
            </w:r>
          </w:p>
        </w:tc>
        <w:tc>
          <w:tcPr>
            <w:tcW w:w="167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一级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水分（质量分数）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/%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6.</w:t>
            </w:r>
            <w:r>
              <w:rPr>
                <w:rFonts w:ascii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总灰分（质量分数）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/%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≤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粉末（≤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目）（质量分数）</w:t>
            </w:r>
            <w:bookmarkStart w:id="0" w:name="OLE_LINK10"/>
            <w:bookmarkStart w:id="1" w:name="OLE_LINK11"/>
            <w:r>
              <w:rPr>
                <w:rFonts w:ascii="宋体" w:hAnsi="宋体"/>
                <w:kern w:val="0"/>
                <w:sz w:val="18"/>
                <w:szCs w:val="18"/>
              </w:rPr>
              <w:t>/%</w:t>
            </w:r>
            <w:bookmarkEnd w:id="0"/>
            <w:bookmarkEnd w:id="1"/>
            <w:r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ascii="宋体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茶氨酸总量（质量分数）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/%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≥</w:t>
            </w: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1.0</w:t>
            </w:r>
          </w:p>
        </w:tc>
      </w:tr>
    </w:tbl>
    <w:p>
      <w:pPr>
        <w:spacing w:line="360" w:lineRule="auto"/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 xml:space="preserve">5.4 </w:t>
      </w:r>
      <w:r>
        <w:rPr>
          <w:rFonts w:hint="eastAsia" w:ascii="黑体" w:hAnsi="黑体" w:eastAsia="黑体"/>
          <w:szCs w:val="21"/>
        </w:rPr>
        <w:t>安全指标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5.4.1</w:t>
      </w:r>
      <w:r>
        <w:rPr>
          <w:rFonts w:hint="eastAsia" w:ascii="黑体" w:hAnsi="黑体" w:eastAsia="黑体"/>
          <w:szCs w:val="21"/>
        </w:rPr>
        <w:t>污染物限量</w:t>
      </w:r>
    </w:p>
    <w:p>
      <w:pPr>
        <w:widowControl/>
        <w:spacing w:before="156" w:beforeLines="50" w:after="156" w:afterLines="50" w:line="276" w:lineRule="auto"/>
        <w:ind w:left="426"/>
        <w:jc w:val="left"/>
        <w:outlineLvl w:val="2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污染物限量应符合表</w:t>
      </w:r>
      <w:r>
        <w:rPr>
          <w:rFonts w:ascii="宋体"/>
          <w:kern w:val="0"/>
          <w:szCs w:val="21"/>
        </w:rPr>
        <w:t>3</w:t>
      </w:r>
      <w:r>
        <w:rPr>
          <w:rFonts w:hint="eastAsia" w:ascii="宋体"/>
          <w:kern w:val="0"/>
          <w:szCs w:val="21"/>
        </w:rPr>
        <w:t>规定，其它指标应符合</w:t>
      </w:r>
      <w:r>
        <w:rPr>
          <w:rFonts w:ascii="宋体"/>
          <w:kern w:val="0"/>
          <w:szCs w:val="21"/>
        </w:rPr>
        <w:t>GB 2762</w:t>
      </w:r>
      <w:r>
        <w:rPr>
          <w:rFonts w:hint="eastAsia" w:ascii="宋体"/>
          <w:kern w:val="0"/>
          <w:szCs w:val="21"/>
        </w:rPr>
        <w:t>的规定。</w:t>
      </w:r>
    </w:p>
    <w:p>
      <w:pPr>
        <w:widowControl/>
        <w:autoSpaceDE w:val="0"/>
        <w:autoSpaceDN w:val="0"/>
        <w:spacing w:line="276" w:lineRule="auto"/>
        <w:ind w:firstLine="420" w:firstLineChars="200"/>
        <w:jc w:val="center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表</w:t>
      </w:r>
      <w:r>
        <w:rPr>
          <w:rFonts w:ascii="黑体" w:eastAsia="黑体"/>
          <w:kern w:val="0"/>
        </w:rPr>
        <w:t xml:space="preserve">3 </w:t>
      </w:r>
      <w:r>
        <w:rPr>
          <w:rFonts w:hint="eastAsia" w:ascii="黑体" w:eastAsia="黑体"/>
          <w:kern w:val="0"/>
        </w:rPr>
        <w:t>污染物限量</w:t>
      </w:r>
    </w:p>
    <w:tbl>
      <w:tblPr>
        <w:tblStyle w:val="14"/>
        <w:tblW w:w="58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448" w:type="dxa"/>
            <w:vAlign w:val="center"/>
          </w:tcPr>
          <w:p>
            <w:pPr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2409" w:type="dxa"/>
            <w:vAlign w:val="center"/>
          </w:tcPr>
          <w:p>
            <w:pPr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  <w:vAlign w:val="center"/>
          </w:tcPr>
          <w:p>
            <w:pPr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铅（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  <w:vAlign w:val="center"/>
          </w:tcPr>
          <w:p>
            <w:pPr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4.0</w:t>
            </w: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5.4.2</w:t>
      </w:r>
      <w:r>
        <w:rPr>
          <w:rFonts w:hint="eastAsia" w:ascii="黑体" w:hAnsi="黑体" w:eastAsia="黑体"/>
          <w:szCs w:val="21"/>
        </w:rPr>
        <w:t>农药最大残留限量</w:t>
      </w:r>
    </w:p>
    <w:p>
      <w:pPr>
        <w:widowControl/>
        <w:autoSpaceDE w:val="0"/>
        <w:autoSpaceDN w:val="0"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hint="eastAsia" w:ascii="宋体"/>
          <w:kern w:val="0"/>
        </w:rPr>
        <w:t>农药最大残留限量应符合</w:t>
      </w:r>
      <w:r>
        <w:rPr>
          <w:rFonts w:hint="eastAsia" w:ascii="宋体"/>
          <w:kern w:val="0"/>
          <w:szCs w:val="21"/>
        </w:rPr>
        <w:t>表</w:t>
      </w:r>
      <w:r>
        <w:rPr>
          <w:rFonts w:ascii="宋体"/>
          <w:kern w:val="0"/>
          <w:szCs w:val="21"/>
        </w:rPr>
        <w:t xml:space="preserve">4 </w:t>
      </w:r>
      <w:r>
        <w:rPr>
          <w:rFonts w:hint="eastAsia" w:ascii="宋体"/>
          <w:kern w:val="0"/>
          <w:szCs w:val="21"/>
        </w:rPr>
        <w:t>规</w:t>
      </w:r>
      <w:r>
        <w:rPr>
          <w:rFonts w:hint="eastAsia" w:ascii="宋体"/>
          <w:kern w:val="0"/>
        </w:rPr>
        <w:t>定。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center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表</w:t>
      </w:r>
      <w:r>
        <w:rPr>
          <w:rFonts w:ascii="黑体" w:eastAsia="黑体"/>
          <w:kern w:val="0"/>
        </w:rPr>
        <w:t xml:space="preserve">4 </w:t>
      </w:r>
      <w:r>
        <w:rPr>
          <w:rFonts w:hint="eastAsia" w:ascii="黑体" w:eastAsia="黑体"/>
          <w:kern w:val="0"/>
        </w:rPr>
        <w:t>农药最大残留限量</w:t>
      </w:r>
    </w:p>
    <w:tbl>
      <w:tblPr>
        <w:tblStyle w:val="14"/>
        <w:tblW w:w="58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448" w:type="dxa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2409" w:type="dxa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吡虫啉（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448" w:type="dxa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草甘膦（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虫螨腈（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啶虫脒（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  <w:shd w:val="clear" w:color="auto" w:fill="FFFFFF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联苯菊酯（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  <w:shd w:val="clear" w:color="auto" w:fill="FFFFFF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48" w:type="dxa"/>
            <w:shd w:val="clear" w:color="auto" w:fill="FFFFFF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茚虫威（</w:t>
            </w:r>
            <w:r>
              <w:rPr>
                <w:rFonts w:ascii="宋体"/>
                <w:kern w:val="0"/>
                <w:sz w:val="18"/>
                <w:szCs w:val="18"/>
              </w:rPr>
              <w:t>mg/kg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2409" w:type="dxa"/>
            <w:shd w:val="clear" w:color="auto" w:fill="FFFFFF"/>
          </w:tcPr>
          <w:p>
            <w:pPr>
              <w:spacing w:line="343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57" w:type="dxa"/>
            <w:gridSpan w:val="2"/>
            <w:shd w:val="clear" w:color="auto" w:fill="FFFFFF"/>
          </w:tcPr>
          <w:p>
            <w:pPr>
              <w:spacing w:line="343" w:lineRule="auto"/>
              <w:ind w:firstLine="360" w:firstLineChars="20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其它指标应符合</w:t>
            </w:r>
            <w:r>
              <w:rPr>
                <w:rFonts w:ascii="宋体"/>
                <w:kern w:val="0"/>
                <w:sz w:val="18"/>
                <w:szCs w:val="18"/>
              </w:rPr>
              <w:t>GB 2763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的规定</w:t>
            </w:r>
          </w:p>
        </w:tc>
      </w:tr>
    </w:tbl>
    <w:p>
      <w:pPr>
        <w:spacing w:line="360" w:lineRule="auto"/>
        <w:rPr>
          <w:rFonts w:ascii="黑体" w:eastAsia="黑体"/>
          <w:kern w:val="0"/>
          <w:szCs w:val="21"/>
        </w:rPr>
      </w:pPr>
      <w:r>
        <w:rPr>
          <w:rFonts w:ascii="黑体" w:eastAsia="黑体"/>
          <w:kern w:val="0"/>
          <w:szCs w:val="21"/>
        </w:rPr>
        <w:t>5.5</w:t>
      </w:r>
      <w:r>
        <w:rPr>
          <w:rFonts w:hint="eastAsia" w:ascii="黑体" w:eastAsia="黑体"/>
          <w:kern w:val="0"/>
          <w:szCs w:val="21"/>
        </w:rPr>
        <w:t>净含量</w:t>
      </w:r>
    </w:p>
    <w:p>
      <w:pPr>
        <w:spacing w:line="360" w:lineRule="auto"/>
        <w:ind w:firstLine="525" w:firstLineChars="2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应符合《定量包装商品计量监督管理办法》的规定。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检验方法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6.1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感官品质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按本标准附录的规定执行。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6.2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理化指标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6.2.1</w:t>
      </w:r>
      <w:r>
        <w:rPr>
          <w:rFonts w:hint="eastAsia" w:ascii="黑体" w:hAnsi="宋体" w:eastAsia="黑体"/>
          <w:szCs w:val="21"/>
        </w:rPr>
        <w:t>水分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GB 5009.3</w:t>
      </w:r>
      <w:r>
        <w:rPr>
          <w:rFonts w:hint="eastAsia" w:ascii="宋体" w:hAnsi="宋体"/>
          <w:szCs w:val="21"/>
        </w:rPr>
        <w:t>的规定执行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6.2.2</w:t>
      </w:r>
      <w:r>
        <w:rPr>
          <w:rFonts w:hint="eastAsia" w:ascii="黑体" w:hAnsi="宋体" w:eastAsia="黑体"/>
          <w:szCs w:val="21"/>
        </w:rPr>
        <w:t>总灰分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GB 5009.4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 xml:space="preserve">6.2.3 </w:t>
      </w:r>
      <w:r>
        <w:rPr>
          <w:rFonts w:hint="eastAsia" w:ascii="黑体" w:hAnsi="宋体" w:eastAsia="黑体"/>
          <w:szCs w:val="21"/>
        </w:rPr>
        <w:t>粉末含量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采用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目筛，检验方法按</w:t>
      </w:r>
      <w:r>
        <w:rPr>
          <w:rFonts w:ascii="宋体" w:hAnsi="宋体"/>
          <w:szCs w:val="21"/>
        </w:rPr>
        <w:t>GB/T 8311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6.2.4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茶氨酸总量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GB/T23193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6.3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安全指标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6.3.1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污染物限量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GB 2762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6.3.2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农药最大残留限量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GB 2763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6.4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净含量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rFonts w:ascii="宋体" w:hAnsi="宋体"/>
          <w:szCs w:val="21"/>
        </w:rPr>
        <w:t>JJF1070</w:t>
      </w:r>
      <w:r>
        <w:rPr>
          <w:rFonts w:hint="eastAsia" w:ascii="宋体" w:hAnsi="宋体"/>
          <w:szCs w:val="21"/>
        </w:rPr>
        <w:t>的规定执行。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检验规则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7.1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组批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产品均以批为单位，同批同级碾茶品质应一致。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7.2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取样</w:t>
      </w:r>
    </w:p>
    <w:p>
      <w:pPr>
        <w:spacing w:line="360" w:lineRule="auto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宋体" w:hAnsi="宋体"/>
          <w:szCs w:val="21"/>
        </w:rPr>
        <w:t>取样应按</w:t>
      </w:r>
      <w:r>
        <w:rPr>
          <w:rFonts w:ascii="宋体" w:hAnsi="宋体"/>
          <w:szCs w:val="21"/>
        </w:rPr>
        <w:t>GB/T8302</w:t>
      </w:r>
      <w:r>
        <w:rPr>
          <w:rFonts w:hint="eastAsia" w:ascii="宋体" w:hAnsi="宋体"/>
          <w:szCs w:val="21"/>
        </w:rPr>
        <w:t>规定执行。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7.3</w:t>
      </w:r>
      <w:r>
        <w:rPr>
          <w:rFonts w:ascii="黑体" w:hAnsi="宋体" w:eastAsia="黑体"/>
          <w:szCs w:val="21"/>
        </w:rPr>
        <w:tab/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出厂检验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每批产品出厂前须对感官品质、水分进行检验，若定量包装还需检验净含量。检验合格后由企业质量管理部门出具出厂检验报告方可出厂。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7.4</w:t>
      </w:r>
      <w:r>
        <w:rPr>
          <w:rFonts w:ascii="黑体" w:hAnsi="宋体" w:eastAsia="黑体"/>
          <w:szCs w:val="21"/>
        </w:rPr>
        <w:tab/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型式检验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型式检验是对产品质量进行全面考核，项目为</w:t>
      </w:r>
      <w:r>
        <w:rPr>
          <w:rFonts w:ascii="宋体" w:hAnsi="宋体"/>
          <w:szCs w:val="21"/>
        </w:rPr>
        <w:t>5.2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5.5</w:t>
      </w:r>
      <w:r>
        <w:rPr>
          <w:rFonts w:hint="eastAsia" w:ascii="宋体" w:hAnsi="宋体"/>
          <w:szCs w:val="21"/>
        </w:rPr>
        <w:t>规定的全部要求，应每半年进行一次，有下列情形之一者，也应对产品质量进行型式检查：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、新产品试制定型鉴定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、前后两次抽样检验结果差异很大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、国家质量监督机构检验产品质量时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、投产后，如原料、工艺、极具有较大改变，可能影响产品质量时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7.5</w:t>
      </w:r>
      <w:r>
        <w:rPr>
          <w:rFonts w:ascii="黑体" w:hAnsi="宋体" w:eastAsia="黑体"/>
          <w:szCs w:val="21"/>
        </w:rPr>
        <w:tab/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判定规则</w:t>
      </w:r>
      <w:r>
        <w:rPr>
          <w:rFonts w:ascii="黑体" w:hAnsi="宋体" w:eastAsia="黑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7.5.1 </w:t>
      </w:r>
      <w:r>
        <w:rPr>
          <w:rFonts w:hint="eastAsia" w:ascii="宋体" w:hAnsi="宋体"/>
          <w:szCs w:val="21"/>
        </w:rPr>
        <w:t>出厂检验时，该批产品凡有一项不符合本标准要求，则判该批次产品为不合格产品，不准出厂。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7.5.2 </w:t>
      </w:r>
      <w:r>
        <w:rPr>
          <w:rFonts w:hint="eastAsia" w:ascii="宋体" w:hAnsi="宋体"/>
          <w:szCs w:val="21"/>
        </w:rPr>
        <w:t>型式检验时，一个项目不合格则判该产品不合格（理化指标除外），理化指标有一项不合格，允许双倍抽样复核，若该项目仍然不合格则判该产品不合格。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7.5.3 </w:t>
      </w:r>
      <w:r>
        <w:rPr>
          <w:rFonts w:hint="eastAsia" w:ascii="宋体" w:hAnsi="宋体"/>
          <w:szCs w:val="21"/>
        </w:rPr>
        <w:t>供需双方对检验结果有争议时，应对保存样进行复检，或在同批产品中按</w:t>
      </w:r>
      <w:r>
        <w:rPr>
          <w:rFonts w:ascii="宋体" w:hAnsi="宋体"/>
          <w:szCs w:val="21"/>
        </w:rPr>
        <w:t>GB/T8302</w:t>
      </w:r>
      <w:r>
        <w:rPr>
          <w:rFonts w:hint="eastAsia" w:ascii="宋体" w:hAnsi="宋体"/>
          <w:szCs w:val="21"/>
        </w:rPr>
        <w:t>规定双倍取样，对有异议的项目复检，以复检结果为准，如意见仍不一致，可封样送法定质量检验机构仲裁。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</w:t>
      </w:r>
      <w:r>
        <w:rPr>
          <w:rFonts w:ascii="黑体" w:hAnsi="宋体" w:eastAsia="黑体"/>
          <w:szCs w:val="21"/>
        </w:rPr>
        <w:tab/>
      </w:r>
      <w:r>
        <w:rPr>
          <w:rFonts w:hint="eastAsia" w:ascii="黑体" w:hAnsi="宋体" w:eastAsia="黑体"/>
          <w:szCs w:val="21"/>
        </w:rPr>
        <w:t>标志标签、包装、运输和贮存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8.1</w:t>
      </w:r>
      <w:r>
        <w:rPr>
          <w:rFonts w:hint="eastAsia" w:ascii="黑体" w:hAnsi="宋体" w:eastAsia="黑体"/>
          <w:szCs w:val="21"/>
        </w:rPr>
        <w:t>标志标签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产品包装物上应有明显标志，标志应符合</w:t>
      </w:r>
      <w:r>
        <w:rPr>
          <w:rFonts w:ascii="宋体" w:hAnsi="宋体"/>
          <w:szCs w:val="21"/>
        </w:rPr>
        <w:t>GB/T 191</w:t>
      </w:r>
      <w:r>
        <w:rPr>
          <w:rFonts w:hint="eastAsia" w:ascii="宋体" w:hAnsi="宋体"/>
          <w:szCs w:val="21"/>
        </w:rPr>
        <w:t>的规定，预包装食品标签应符合</w:t>
      </w:r>
      <w:r>
        <w:rPr>
          <w:rFonts w:ascii="宋体" w:hAnsi="宋体"/>
          <w:szCs w:val="21"/>
        </w:rPr>
        <w:t>GB 7718</w:t>
      </w:r>
      <w:r>
        <w:rPr>
          <w:rFonts w:hint="eastAsia" w:ascii="宋体" w:hAnsi="宋体"/>
          <w:szCs w:val="21"/>
        </w:rPr>
        <w:t>的规定。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8.2</w:t>
      </w:r>
      <w:r>
        <w:rPr>
          <w:rFonts w:hint="eastAsia" w:ascii="黑体" w:hAnsi="宋体" w:eastAsia="黑体"/>
          <w:szCs w:val="21"/>
        </w:rPr>
        <w:t>包装</w:t>
      </w:r>
    </w:p>
    <w:p>
      <w:pPr>
        <w:spacing w:line="360" w:lineRule="auto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宋体" w:hAnsi="宋体"/>
          <w:szCs w:val="21"/>
        </w:rPr>
        <w:t>应符合</w:t>
      </w:r>
      <w:r>
        <w:rPr>
          <w:rFonts w:ascii="宋体" w:hAnsi="宋体"/>
          <w:szCs w:val="21"/>
        </w:rPr>
        <w:t>GH/1070</w:t>
      </w:r>
      <w:r>
        <w:rPr>
          <w:rFonts w:hint="eastAsia" w:ascii="宋体" w:hAnsi="宋体"/>
          <w:szCs w:val="21"/>
        </w:rPr>
        <w:t>的规定。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8.3</w:t>
      </w:r>
      <w:r>
        <w:rPr>
          <w:rFonts w:hint="eastAsia" w:ascii="黑体" w:hAnsi="宋体" w:eastAsia="黑体"/>
          <w:szCs w:val="21"/>
        </w:rPr>
        <w:t>运输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运输工具应清洁卫生，防雨防晒，不得与有异气味，有毒物品混装混运。装运时严禁摔撞，保证产品和包装完整。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8.4</w:t>
      </w:r>
      <w:r>
        <w:rPr>
          <w:rFonts w:hint="eastAsia" w:ascii="黑体" w:hAnsi="宋体" w:eastAsia="黑体"/>
          <w:szCs w:val="21"/>
        </w:rPr>
        <w:t>贮存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符合</w:t>
      </w:r>
      <w:r>
        <w:rPr>
          <w:rFonts w:ascii="宋体" w:hAnsi="宋体"/>
          <w:szCs w:val="21"/>
        </w:rPr>
        <w:t>GB/T30375</w:t>
      </w:r>
      <w:r>
        <w:rPr>
          <w:rFonts w:hint="eastAsia" w:ascii="宋体" w:hAnsi="宋体"/>
          <w:szCs w:val="21"/>
        </w:rPr>
        <w:t>规定。冷库要保持清洁卫生，干燥，仓库周围无异气味等污染源。</w:t>
      </w:r>
    </w:p>
    <w:p>
      <w:pPr>
        <w:spacing w:line="360" w:lineRule="auto"/>
        <w:rPr>
          <w:rFonts w:ascii="宋体"/>
          <w:color w:val="FFFFFF"/>
          <w:szCs w:val="21"/>
          <w:u w:val="single"/>
        </w:rPr>
      </w:pPr>
      <w:r>
        <w:rPr>
          <w:rFonts w:ascii="宋体"/>
          <w:color w:val="000000"/>
          <w:kern w:val="0"/>
          <w:szCs w:val="21"/>
        </w:rPr>
        <w:t xml:space="preserve">                 </w:t>
      </w:r>
      <w:r>
        <w:rPr>
          <w:rFonts w:ascii="宋体"/>
          <w:color w:val="000000"/>
          <w:kern w:val="0"/>
          <w:szCs w:val="21"/>
          <w:u w:val="single"/>
        </w:rPr>
        <w:t xml:space="preserve">                                                    </w:t>
      </w:r>
      <w:r>
        <w:rPr>
          <w:rFonts w:ascii="宋体"/>
          <w:color w:val="FFFFFF"/>
          <w:kern w:val="0"/>
          <w:szCs w:val="21"/>
          <w:u w:val="single"/>
        </w:rPr>
        <w:t xml:space="preserve">0                   </w:t>
      </w:r>
      <w:r>
        <w:rPr>
          <w:rFonts w:ascii="宋体"/>
          <w:color w:val="FFFFFF"/>
          <w:kern w:val="0"/>
          <w:szCs w:val="21"/>
          <w:u w:val="single"/>
        </w:rPr>
        <w:br w:type="page"/>
      </w:r>
      <w:r>
        <w:rPr>
          <w:rFonts w:ascii="宋体" w:hAnsi="宋体"/>
          <w:color w:val="FFFFFF"/>
          <w:szCs w:val="21"/>
          <w:u w:val="single"/>
        </w:rPr>
        <w:t xml:space="preserve">                             </w:t>
      </w:r>
    </w:p>
    <w:p>
      <w:pPr>
        <w:spacing w:line="360" w:lineRule="auto"/>
        <w:jc w:val="center"/>
        <w:rPr>
          <w:rFonts w:ascii="黑体" w:hAnsi="Calibri" w:eastAsia="黑体"/>
          <w:szCs w:val="21"/>
        </w:rPr>
      </w:pPr>
      <w:r>
        <w:rPr>
          <w:rFonts w:hint="eastAsia" w:ascii="黑体" w:hAnsi="Calibri" w:eastAsia="黑体"/>
          <w:szCs w:val="21"/>
        </w:rPr>
        <w:t>附</w:t>
      </w:r>
      <w:r>
        <w:rPr>
          <w:rFonts w:ascii="黑体" w:hAnsi="Calibri" w:eastAsia="黑体"/>
          <w:szCs w:val="21"/>
        </w:rPr>
        <w:t xml:space="preserve"> </w:t>
      </w:r>
      <w:r>
        <w:rPr>
          <w:rFonts w:hint="eastAsia" w:ascii="黑体" w:hAnsi="Calibri" w:eastAsia="黑体"/>
          <w:szCs w:val="21"/>
        </w:rPr>
        <w:t>录</w:t>
      </w:r>
    </w:p>
    <w:p>
      <w:pPr>
        <w:spacing w:line="360" w:lineRule="auto"/>
        <w:jc w:val="center"/>
        <w:rPr>
          <w:rFonts w:ascii="黑体" w:hAnsi="Calibri" w:eastAsia="黑体"/>
          <w:szCs w:val="21"/>
        </w:rPr>
      </w:pPr>
      <w:r>
        <w:rPr>
          <w:rFonts w:hint="eastAsia" w:ascii="黑体" w:hAnsi="Calibri" w:eastAsia="黑体"/>
          <w:szCs w:val="21"/>
        </w:rPr>
        <w:t>（规范性附录）</w:t>
      </w:r>
    </w:p>
    <w:p>
      <w:pPr>
        <w:spacing w:line="360" w:lineRule="auto"/>
        <w:jc w:val="center"/>
        <w:rPr>
          <w:rFonts w:ascii="黑体" w:hAnsi="Calibri" w:eastAsia="黑体"/>
          <w:szCs w:val="21"/>
        </w:rPr>
      </w:pPr>
      <w:r>
        <w:rPr>
          <w:rFonts w:hint="eastAsia" w:ascii="黑体" w:hAnsi="Calibri" w:eastAsia="黑体"/>
          <w:szCs w:val="21"/>
        </w:rPr>
        <w:t>审评方法</w:t>
      </w:r>
    </w:p>
    <w:p>
      <w:pPr>
        <w:spacing w:line="360" w:lineRule="auto"/>
        <w:jc w:val="center"/>
        <w:rPr>
          <w:rFonts w:ascii="黑体" w:hAnsi="Calibri" w:eastAsia="黑体"/>
          <w:szCs w:val="21"/>
        </w:rPr>
      </w:pPr>
    </w:p>
    <w:p>
      <w:pPr>
        <w:widowControl/>
        <w:spacing w:line="324" w:lineRule="auto"/>
        <w:rPr>
          <w:rFonts w:ascii="黑体" w:hAnsi="宋体" w:eastAsia="黑体"/>
          <w:color w:val="FF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1</w:t>
      </w:r>
      <w:r>
        <w:rPr>
          <w:rFonts w:hint="eastAsia" w:ascii="黑体" w:hAnsi="宋体" w:eastAsia="黑体"/>
          <w:color w:val="000000"/>
          <w:kern w:val="0"/>
          <w:szCs w:val="21"/>
        </w:rPr>
        <w:t>方法概述</w:t>
      </w:r>
    </w:p>
    <w:p>
      <w:pPr>
        <w:widowControl/>
        <w:spacing w:line="324" w:lineRule="auto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分两种审评方法：快速审评法、</w:t>
      </w:r>
      <w:r>
        <w:rPr>
          <w:rFonts w:hint="eastAsia" w:hAnsi="宋体"/>
          <w:szCs w:val="21"/>
        </w:rPr>
        <w:t>产品</w:t>
      </w:r>
      <w:r>
        <w:rPr>
          <w:rFonts w:hint="eastAsia"/>
        </w:rPr>
        <w:t>审评法。</w:t>
      </w:r>
      <w:r>
        <w:rPr>
          <w:rFonts w:hint="eastAsia" w:ascii="宋体" w:hAnsi="宋体"/>
          <w:kern w:val="0"/>
          <w:szCs w:val="21"/>
        </w:rPr>
        <w:t>采用干湿兼评，外形内质并重的方法，对照实物标准样，从干茶色泽和开汤后的香气、滋味、叶底几个方面进行评定。</w:t>
      </w:r>
    </w:p>
    <w:p>
      <w:pPr>
        <w:widowControl/>
        <w:spacing w:line="324" w:lineRule="auto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快速审评法（常用于生产过程质量控制）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 xml:space="preserve">2.1 </w:t>
      </w:r>
      <w:r>
        <w:rPr>
          <w:rFonts w:hint="eastAsia" w:ascii="黑体" w:hAnsi="宋体" w:eastAsia="黑体"/>
          <w:color w:val="000000"/>
          <w:kern w:val="0"/>
          <w:szCs w:val="21"/>
        </w:rPr>
        <w:t>评审主要用具</w:t>
      </w:r>
    </w:p>
    <w:p>
      <w:pPr>
        <w:widowControl/>
        <w:spacing w:line="324" w:lineRule="auto"/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——</w:t>
      </w:r>
      <w:r>
        <w:rPr>
          <w:rFonts w:hint="eastAsia" w:ascii="宋体" w:hAnsi="宋体"/>
          <w:color w:val="000000"/>
          <w:kern w:val="0"/>
          <w:szCs w:val="21"/>
        </w:rPr>
        <w:t>评茶盘：黑色方盘，油漆或搪瓷喷涂，</w:t>
      </w:r>
      <w:r>
        <w:rPr>
          <w:rFonts w:ascii="宋体" w:hAnsi="宋体"/>
          <w:color w:val="000000"/>
          <w:kern w:val="0"/>
          <w:szCs w:val="21"/>
        </w:rPr>
        <w:t>20cm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>25cm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 xml:space="preserve">3cm </w:t>
      </w:r>
    </w:p>
    <w:p>
      <w:pPr>
        <w:widowControl/>
        <w:spacing w:line="324" w:lineRule="auto"/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——</w:t>
      </w:r>
      <w:r>
        <w:rPr>
          <w:rFonts w:hint="eastAsia" w:ascii="宋体" w:hAnsi="宋体"/>
          <w:color w:val="000000"/>
          <w:kern w:val="0"/>
          <w:szCs w:val="21"/>
        </w:rPr>
        <w:t>审评碗：白瓷制，直径</w:t>
      </w:r>
      <w:r>
        <w:rPr>
          <w:rFonts w:ascii="宋体" w:hAnsi="宋体"/>
          <w:color w:val="000000"/>
          <w:kern w:val="0"/>
          <w:szCs w:val="21"/>
        </w:rPr>
        <w:t>73mm</w:t>
      </w:r>
      <w:r>
        <w:rPr>
          <w:rFonts w:hint="eastAsia" w:ascii="宋体" w:hAnsi="宋体"/>
          <w:color w:val="000000"/>
          <w:kern w:val="0"/>
          <w:szCs w:val="21"/>
        </w:rPr>
        <w:t>、高</w:t>
      </w:r>
      <w:r>
        <w:rPr>
          <w:rFonts w:ascii="宋体" w:hAnsi="宋体"/>
          <w:color w:val="000000"/>
          <w:kern w:val="0"/>
          <w:szCs w:val="21"/>
        </w:rPr>
        <w:t>48mm</w:t>
      </w:r>
      <w:r>
        <w:rPr>
          <w:rFonts w:hint="eastAsia" w:ascii="宋体" w:hAnsi="宋体"/>
          <w:color w:val="000000"/>
          <w:kern w:val="0"/>
          <w:szCs w:val="21"/>
        </w:rPr>
        <w:t>、容积</w:t>
      </w:r>
      <w:r>
        <w:rPr>
          <w:rFonts w:ascii="宋体" w:hAnsi="宋体"/>
          <w:color w:val="000000"/>
          <w:kern w:val="0"/>
          <w:szCs w:val="21"/>
        </w:rPr>
        <w:t>200ml</w:t>
      </w:r>
    </w:p>
    <w:p>
      <w:pPr>
        <w:widowControl/>
        <w:spacing w:line="324" w:lineRule="auto"/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——</w:t>
      </w:r>
      <w:r>
        <w:rPr>
          <w:rFonts w:hint="eastAsia" w:ascii="宋体" w:hAnsi="宋体"/>
          <w:color w:val="000000"/>
          <w:kern w:val="0"/>
          <w:szCs w:val="21"/>
        </w:rPr>
        <w:t>滤茶网勺：</w:t>
      </w:r>
      <w:r>
        <w:rPr>
          <w:rFonts w:ascii="宋体" w:hAnsi="宋体"/>
          <w:color w:val="000000"/>
          <w:kern w:val="0"/>
          <w:szCs w:val="21"/>
        </w:rPr>
        <w:t>18</w:t>
      </w:r>
      <w:r>
        <w:rPr>
          <w:rFonts w:hint="eastAsia" w:ascii="宋体" w:hAnsi="宋体"/>
          <w:color w:val="000000"/>
          <w:kern w:val="0"/>
          <w:szCs w:val="21"/>
        </w:rPr>
        <w:t>目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 xml:space="preserve">2.2 </w:t>
      </w:r>
      <w:r>
        <w:rPr>
          <w:rFonts w:hint="eastAsia" w:ascii="黑体" w:hAnsi="宋体" w:eastAsia="黑体"/>
          <w:color w:val="000000"/>
          <w:kern w:val="0"/>
          <w:szCs w:val="21"/>
        </w:rPr>
        <w:t>评审程序</w:t>
      </w:r>
    </w:p>
    <w:p>
      <w:pPr>
        <w:widowControl/>
        <w:spacing w:line="324" w:lineRule="auto"/>
        <w:ind w:firstLine="420" w:firstLineChars="200"/>
        <w:rPr>
          <w:rFonts w:ascii="黑体" w:hAnsi="宋体" w:eastAsia="黑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先干评碾茶外形，再湿评碾茶内质。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 xml:space="preserve">2.3 </w:t>
      </w:r>
      <w:r>
        <w:rPr>
          <w:rFonts w:hint="eastAsia" w:ascii="黑体" w:hAnsi="宋体" w:eastAsia="黑体"/>
          <w:color w:val="000000"/>
          <w:kern w:val="0"/>
          <w:szCs w:val="21"/>
        </w:rPr>
        <w:t>外形评审</w:t>
      </w:r>
    </w:p>
    <w:p>
      <w:pPr>
        <w:widowControl/>
        <w:spacing w:line="324" w:lineRule="auto"/>
        <w:ind w:firstLine="420" w:firstLineChars="200"/>
        <w:rPr>
          <w:rFonts w:ascii="黑体" w:hAnsi="宋体" w:eastAsia="黑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将试样充分混合，取</w:t>
      </w:r>
      <w:r>
        <w:rPr>
          <w:rFonts w:ascii="宋体" w:hAnsi="宋体"/>
          <w:color w:val="000000"/>
          <w:kern w:val="0"/>
          <w:szCs w:val="21"/>
        </w:rPr>
        <w:t>30g-50g</w:t>
      </w:r>
      <w:r>
        <w:rPr>
          <w:rFonts w:hint="eastAsia" w:ascii="宋体" w:hAnsi="宋体"/>
          <w:color w:val="000000"/>
          <w:kern w:val="0"/>
          <w:szCs w:val="21"/>
        </w:rPr>
        <w:t>样品，放入评茶盘，察看外观色泽。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2.4</w:t>
      </w:r>
      <w:r>
        <w:rPr>
          <w:rFonts w:hint="eastAsia" w:ascii="黑体" w:hAnsi="宋体" w:eastAsia="黑体"/>
          <w:color w:val="000000"/>
          <w:kern w:val="0"/>
          <w:szCs w:val="21"/>
        </w:rPr>
        <w:t>内质评审</w:t>
      </w:r>
    </w:p>
    <w:p>
      <w:pPr>
        <w:widowControl/>
        <w:spacing w:line="324" w:lineRule="auto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准确称取有代表性茶样</w:t>
      </w:r>
      <w:r>
        <w:rPr>
          <w:rFonts w:ascii="宋体" w:hAnsi="宋体"/>
        </w:rPr>
        <w:t>3g</w:t>
      </w:r>
      <w:r>
        <w:rPr>
          <w:rFonts w:hint="eastAsia" w:ascii="宋体" w:hAnsi="宋体"/>
        </w:rPr>
        <w:t>放入评茶碗，直接向碗中注入沸水</w:t>
      </w:r>
      <w:r>
        <w:rPr>
          <w:rFonts w:ascii="宋体" w:hAnsi="宋体"/>
        </w:rPr>
        <w:t>150ml</w:t>
      </w:r>
      <w:r>
        <w:rPr>
          <w:rFonts w:hint="eastAsia" w:ascii="宋体" w:hAnsi="宋体"/>
        </w:rPr>
        <w:t>，约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分钟后碾茶已吸胀，用滤茶网勺捞取叶底，审评茶叶香气，反复数次，辨别是否具有碾茶的特征香气、香气的鲜爽性、浓度与纯异，判断时须结合汤热时和汤冷时的香气情况综合判断；于</w:t>
      </w:r>
      <w:r>
        <w:rPr>
          <w:rFonts w:ascii="宋体" w:hAnsi="宋体"/>
        </w:rPr>
        <w:t>5min</w:t>
      </w:r>
      <w:r>
        <w:rPr>
          <w:rFonts w:hint="eastAsia" w:ascii="宋体" w:hAnsi="宋体"/>
        </w:rPr>
        <w:t>时将茶汤滤出，分别用于审评汤色、滋味与叶底。审评汤色时主要观察色度、明暗度、清澈度；用茶匙取适量约</w:t>
      </w:r>
      <w:r>
        <w:rPr>
          <w:rFonts w:ascii="宋体" w:hAnsi="宋体"/>
        </w:rPr>
        <w:t>5ml</w:t>
      </w:r>
      <w:r>
        <w:rPr>
          <w:rFonts w:hint="eastAsia" w:ascii="宋体" w:hAnsi="宋体"/>
        </w:rPr>
        <w:t>茶汤于口内，用舌头让茶汤在口腔内循环打转，使茶汤与舌头各部位充分接触，并感受刺激，然后咽下或吐入吐茶桶，审评滋味的浓淡、厚薄、醇涩、鲜钝和纯异，感受茶汤滋味时也许注意感受茶汤从喉咙处扩散至鼻腔的香气；对于捞出的叶底使用目测和手感的方式审评叶底的嫩度、色泽、明暗度和匀整度。</w:t>
      </w:r>
    </w:p>
    <w:p>
      <w:pPr>
        <w:widowControl/>
        <w:spacing w:line="324" w:lineRule="auto"/>
        <w:ind w:firstLine="420" w:firstLineChars="200"/>
        <w:rPr>
          <w:highlight w:val="yellow"/>
        </w:rPr>
      </w:pPr>
    </w:p>
    <w:p>
      <w:pPr>
        <w:widowControl/>
        <w:spacing w:line="324" w:lineRule="auto"/>
        <w:rPr>
          <w:b/>
        </w:rPr>
      </w:pPr>
      <w:r>
        <w:t>3</w:t>
      </w:r>
      <w:r>
        <w:rPr>
          <w:rFonts w:hint="eastAsia" w:ascii="黑体" w:hAnsi="宋体" w:eastAsia="黑体"/>
          <w:color w:val="000000"/>
          <w:kern w:val="0"/>
          <w:szCs w:val="21"/>
        </w:rPr>
        <w:t>产品审评法</w:t>
      </w:r>
      <w:r>
        <w:rPr>
          <w:rFonts w:hint="eastAsia" w:ascii="宋体" w:hAnsi="宋体"/>
          <w:color w:val="000000"/>
          <w:kern w:val="0"/>
          <w:szCs w:val="21"/>
        </w:rPr>
        <w:t>（常用于产品质量控制）</w:t>
      </w:r>
    </w:p>
    <w:p>
      <w:pPr>
        <w:widowControl/>
        <w:spacing w:line="324" w:lineRule="auto"/>
        <w:ind w:firstLine="42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按</w:t>
      </w:r>
      <w:r>
        <w:rPr>
          <w:rFonts w:ascii="宋体" w:hAnsi="宋体"/>
          <w:color w:val="000000"/>
          <w:kern w:val="0"/>
          <w:szCs w:val="21"/>
        </w:rPr>
        <w:t>GB/T 23776</w:t>
      </w:r>
      <w:r>
        <w:rPr>
          <w:rFonts w:hint="eastAsia" w:ascii="宋体" w:hAnsi="宋体"/>
          <w:color w:val="000000"/>
          <w:kern w:val="0"/>
          <w:szCs w:val="21"/>
        </w:rPr>
        <w:t>的规定执行。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4</w:t>
      </w:r>
      <w:r>
        <w:rPr>
          <w:rFonts w:hint="eastAsia" w:ascii="黑体" w:hAnsi="宋体" w:eastAsia="黑体"/>
          <w:color w:val="000000"/>
          <w:kern w:val="0"/>
          <w:szCs w:val="21"/>
        </w:rPr>
        <w:t>审评结果与评定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4</w:t>
      </w:r>
      <w:r>
        <w:rPr>
          <w:rFonts w:hint="eastAsia" w:ascii="黑体" w:hAnsi="宋体" w:eastAsia="黑体"/>
          <w:color w:val="000000"/>
          <w:kern w:val="0"/>
          <w:szCs w:val="21"/>
        </w:rPr>
        <w:t>．</w:t>
      </w:r>
      <w:r>
        <w:rPr>
          <w:rFonts w:ascii="黑体" w:hAnsi="宋体" w:eastAsia="黑体"/>
          <w:color w:val="000000"/>
          <w:kern w:val="0"/>
          <w:szCs w:val="21"/>
        </w:rPr>
        <w:t>1</w:t>
      </w:r>
      <w:r>
        <w:rPr>
          <w:rFonts w:hint="eastAsia" w:ascii="黑体" w:hAnsi="宋体" w:eastAsia="黑体"/>
          <w:color w:val="000000"/>
          <w:kern w:val="0"/>
          <w:szCs w:val="21"/>
        </w:rPr>
        <w:t>审评评价与评分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结果评价可采用直接审评法，也可采用“七档制评分”法。</w:t>
      </w:r>
    </w:p>
    <w:p>
      <w:pPr>
        <w:widowControl/>
        <w:spacing w:line="324" w:lineRule="auto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对照标准样</w:t>
      </w:r>
      <w:bookmarkStart w:id="2" w:name="_GoBack"/>
      <w:bookmarkEnd w:id="2"/>
      <w:r>
        <w:rPr>
          <w:rFonts w:hint="eastAsia" w:ascii="宋体" w:hAnsi="宋体"/>
        </w:rPr>
        <w:t>对各审评因子逐项对比审评，判断结果按表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“七档制”方法进行评分。</w:t>
      </w:r>
    </w:p>
    <w:p>
      <w:pPr>
        <w:widowControl/>
        <w:spacing w:line="324" w:lineRule="auto"/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表</w:t>
      </w:r>
      <w:r>
        <w:rPr>
          <w:rFonts w:ascii="黑体" w:hAnsi="黑体" w:eastAsia="黑体"/>
          <w:b/>
          <w:bCs/>
        </w:rPr>
        <w:t xml:space="preserve">5 </w:t>
      </w:r>
      <w:r>
        <w:rPr>
          <w:rFonts w:hint="eastAsia" w:ascii="黑体" w:hAnsi="黑体" w:eastAsia="黑体"/>
          <w:b/>
          <w:bCs/>
        </w:rPr>
        <w:t>七档制评分</w:t>
      </w:r>
    </w:p>
    <w:tbl>
      <w:tblPr>
        <w:tblStyle w:val="14"/>
        <w:tblW w:w="99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3301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七档制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评分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+3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差异大，明显好于标准样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较高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+2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差异较大，好于标准样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稍高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+1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仔细辨别才能区分，稍好于标准样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相当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标准样水平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稍低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-1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仔细辨别才能区分，稍差于标准样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较低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-2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差异较大，差于标准样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低</w:t>
            </w:r>
          </w:p>
        </w:tc>
        <w:tc>
          <w:tcPr>
            <w:tcW w:w="3301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-3</w:t>
            </w:r>
          </w:p>
        </w:tc>
        <w:tc>
          <w:tcPr>
            <w:tcW w:w="3302" w:type="dxa"/>
          </w:tcPr>
          <w:p>
            <w:pPr>
              <w:widowControl/>
              <w:spacing w:line="324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差异大，明显差于标准样</w:t>
            </w:r>
          </w:p>
        </w:tc>
      </w:tr>
    </w:tbl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4.2</w:t>
      </w:r>
      <w:r>
        <w:rPr>
          <w:rFonts w:hint="eastAsia" w:ascii="黑体" w:hAnsi="宋体" w:eastAsia="黑体"/>
          <w:color w:val="000000"/>
          <w:kern w:val="0"/>
          <w:szCs w:val="21"/>
        </w:rPr>
        <w:t>计算结果</w:t>
      </w:r>
    </w:p>
    <w:p>
      <w:pPr>
        <w:widowControl/>
        <w:spacing w:line="324" w:lineRule="auto"/>
        <w:ind w:firstLine="420" w:firstLineChars="200"/>
        <w:jc w:val="left"/>
        <w:rPr>
          <w:rFonts w:ascii="宋体"/>
        </w:rPr>
      </w:pPr>
      <w:r>
        <w:rPr>
          <w:rFonts w:hint="eastAsia" w:ascii="宋体" w:hAnsi="宋体"/>
        </w:rPr>
        <w:t>审评结果按式（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）计算：</w:t>
      </w:r>
    </w:p>
    <w:p>
      <w:pPr>
        <w:widowControl/>
        <w:spacing w:line="324" w:lineRule="auto"/>
        <w:ind w:firstLine="420" w:firstLineChars="200"/>
        <w:jc w:val="left"/>
        <w:rPr>
          <w:rFonts w:ascii="宋体"/>
        </w:rPr>
      </w:pPr>
      <w:r>
        <w:rPr>
          <w:rFonts w:ascii="宋体" w:hAnsi="宋体"/>
        </w:rPr>
        <w:t xml:space="preserve">                                  Y=A</w:t>
      </w:r>
      <w:r>
        <w:rPr>
          <w:rFonts w:ascii="宋体" w:hAnsi="宋体"/>
          <w:vertAlign w:val="subscript"/>
        </w:rPr>
        <w:t>n</w:t>
      </w:r>
      <w:r>
        <w:rPr>
          <w:rFonts w:ascii="宋体" w:hAnsi="宋体"/>
        </w:rPr>
        <w:t>+B</w:t>
      </w:r>
      <w:r>
        <w:rPr>
          <w:rFonts w:ascii="宋体" w:hAnsi="宋体"/>
          <w:vertAlign w:val="subscript"/>
        </w:rPr>
        <w:t>n</w:t>
      </w:r>
      <w:r>
        <w:rPr>
          <w:rFonts w:ascii="宋体" w:hAnsi="宋体"/>
        </w:rPr>
        <w:t>+</w:t>
      </w:r>
      <w:r>
        <w:rPr>
          <w:rFonts w:hint="eastAsia" w:ascii="宋体" w:hAnsi="宋体"/>
        </w:rPr>
        <w:t>…</w:t>
      </w:r>
      <w:r>
        <w:rPr>
          <w:rFonts w:ascii="宋体" w:hAnsi="宋体"/>
        </w:rPr>
        <w:t>H</w:t>
      </w:r>
      <w:r>
        <w:rPr>
          <w:rFonts w:ascii="宋体" w:hAnsi="宋体"/>
          <w:vertAlign w:val="subscript"/>
        </w:rPr>
        <w:t xml:space="preserve">n                                      </w:t>
      </w:r>
      <w:r>
        <w:rPr>
          <w:rFonts w:hint="eastAsia" w:ascii="宋体" w:hAnsi="宋体"/>
        </w:rPr>
        <w:t>………………（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</w:p>
    <w:p>
      <w:pPr>
        <w:widowControl/>
        <w:spacing w:line="324" w:lineRule="auto"/>
        <w:ind w:firstLine="420" w:firstLineChars="200"/>
        <w:jc w:val="left"/>
        <w:rPr>
          <w:rFonts w:ascii="宋体"/>
        </w:rPr>
      </w:pPr>
      <w:r>
        <w:rPr>
          <w:rFonts w:hint="eastAsia" w:ascii="宋体" w:hAnsi="宋体"/>
        </w:rPr>
        <w:t>式中：</w:t>
      </w:r>
    </w:p>
    <w:p>
      <w:pPr>
        <w:widowControl/>
        <w:spacing w:line="324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Y         ——</w:t>
      </w:r>
      <w:r>
        <w:rPr>
          <w:rFonts w:hint="eastAsia" w:ascii="宋体" w:hAnsi="宋体"/>
          <w:color w:val="000000"/>
          <w:kern w:val="0"/>
          <w:szCs w:val="21"/>
        </w:rPr>
        <w:t>茶叶审评总得分</w:t>
      </w:r>
    </w:p>
    <w:p>
      <w:pPr>
        <w:widowControl/>
        <w:spacing w:line="324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</w:t>
      </w:r>
      <w:r>
        <w:rPr>
          <w:rFonts w:ascii="宋体" w:hAnsi="宋体"/>
        </w:rPr>
        <w:t>A</w:t>
      </w:r>
      <w:r>
        <w:rPr>
          <w:rFonts w:ascii="宋体" w:hAnsi="宋体"/>
          <w:vertAlign w:val="subscript"/>
        </w:rPr>
        <w:t>n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B</w:t>
      </w:r>
      <w:r>
        <w:rPr>
          <w:rFonts w:ascii="宋体" w:hAnsi="宋体"/>
          <w:vertAlign w:val="subscript"/>
        </w:rPr>
        <w:t>n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H</w:t>
      </w:r>
      <w:r>
        <w:rPr>
          <w:rFonts w:ascii="宋体" w:hAnsi="宋体"/>
          <w:vertAlign w:val="subscript"/>
        </w:rPr>
        <w:t>n</w:t>
      </w:r>
      <w:r>
        <w:rPr>
          <w:rFonts w:ascii="宋体" w:hAnsi="宋体"/>
          <w:color w:val="000000"/>
          <w:kern w:val="0"/>
          <w:szCs w:val="21"/>
        </w:rPr>
        <w:t>——</w:t>
      </w:r>
      <w:r>
        <w:rPr>
          <w:rFonts w:hint="eastAsia" w:ascii="宋体" w:hAnsi="宋体"/>
          <w:color w:val="000000"/>
          <w:kern w:val="0"/>
          <w:szCs w:val="21"/>
        </w:rPr>
        <w:t>各项因子得分</w:t>
      </w:r>
    </w:p>
    <w:p>
      <w:pPr>
        <w:widowControl/>
        <w:spacing w:line="324" w:lineRule="auto"/>
        <w:rPr>
          <w:rFonts w:ascii="黑体" w:hAnsi="宋体" w:eastAsia="黑体"/>
          <w:color w:val="000000"/>
          <w:kern w:val="0"/>
          <w:szCs w:val="21"/>
        </w:rPr>
      </w:pPr>
      <w:r>
        <w:rPr>
          <w:rFonts w:ascii="黑体" w:hAnsi="宋体" w:eastAsia="黑体"/>
          <w:color w:val="000000"/>
          <w:kern w:val="0"/>
          <w:szCs w:val="21"/>
        </w:rPr>
        <w:t>4.3</w:t>
      </w:r>
      <w:r>
        <w:rPr>
          <w:rFonts w:hint="eastAsia" w:ascii="黑体" w:hAnsi="宋体" w:eastAsia="黑体"/>
          <w:color w:val="000000"/>
          <w:kern w:val="0"/>
          <w:szCs w:val="21"/>
        </w:rPr>
        <w:t>计算判定</w:t>
      </w:r>
    </w:p>
    <w:p>
      <w:pPr>
        <w:widowControl/>
        <w:spacing w:line="324" w:lineRule="auto"/>
        <w:ind w:firstLine="420" w:firstLineChars="2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任何单一因子得</w:t>
      </w:r>
      <w:r>
        <w:rPr>
          <w:rFonts w:ascii="宋体" w:hAnsi="宋体"/>
          <w:color w:val="000000"/>
          <w:kern w:val="0"/>
          <w:szCs w:val="21"/>
        </w:rPr>
        <w:t>-3</w:t>
      </w:r>
      <w:r>
        <w:rPr>
          <w:rFonts w:hint="eastAsia" w:ascii="宋体" w:hAnsi="宋体"/>
          <w:color w:val="000000"/>
          <w:kern w:val="0"/>
          <w:szCs w:val="21"/>
        </w:rPr>
        <w:t>分者判该样品不合格。总得分≤</w:t>
      </w:r>
      <w:r>
        <w:rPr>
          <w:rFonts w:ascii="宋体" w:hAnsi="宋体"/>
          <w:color w:val="000000"/>
          <w:kern w:val="0"/>
          <w:szCs w:val="21"/>
        </w:rPr>
        <w:t>-3</w:t>
      </w:r>
      <w:r>
        <w:rPr>
          <w:rFonts w:hint="eastAsia" w:ascii="宋体" w:hAnsi="宋体"/>
          <w:color w:val="000000"/>
          <w:kern w:val="0"/>
          <w:szCs w:val="21"/>
        </w:rPr>
        <w:t>分者该样品不合格。</w:t>
      </w: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widowControl/>
        <w:spacing w:line="324" w:lineRule="auto"/>
        <w:jc w:val="left"/>
        <w:rPr>
          <w:rFonts w:ascii="黑体" w:hAnsi="宋体" w:eastAsia="黑体"/>
          <w:color w:val="000000"/>
          <w:kern w:val="0"/>
          <w:szCs w:val="21"/>
        </w:rPr>
      </w:pPr>
    </w:p>
    <w:p>
      <w:pPr>
        <w:spacing w:line="360" w:lineRule="auto"/>
        <w:jc w:val="center"/>
        <w:rPr>
          <w:rFonts w:ascii="黑体" w:hAnsi="宋体" w:eastAsia="黑体"/>
          <w:color w:val="000000"/>
          <w:kern w:val="0"/>
          <w:szCs w:val="21"/>
        </w:rPr>
      </w:pPr>
    </w:p>
    <w:sectPr>
      <w:headerReference r:id="rId18" w:type="first"/>
      <w:footerReference r:id="rId20" w:type="first"/>
      <w:headerReference r:id="rId16" w:type="default"/>
      <w:headerReference r:id="rId17" w:type="even"/>
      <w:footerReference r:id="rId19" w:type="even"/>
      <w:pgSz w:w="12240" w:h="15840"/>
      <w:pgMar w:top="907" w:right="1134" w:bottom="794" w:left="1418" w:header="567" w:footer="680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I</w:t>
    </w:r>
    <w:r>
      <w:rPr>
        <w:rStyle w:val="1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III</w:t>
    </w:r>
    <w:r>
      <w:rPr>
        <w:rStyle w:val="11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24"/>
        <w:szCs w:val="24"/>
      </w:rPr>
      <w:t>T/GZTPA 0002-2018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  <w:rPr>
        <w:sz w:val="24"/>
        <w:szCs w:val="24"/>
      </w:rPr>
    </w:pPr>
    <w:r>
      <w:rPr>
        <w:sz w:val="24"/>
        <w:szCs w:val="24"/>
      </w:rPr>
      <w:t>T/GZTPA 000</w:t>
    </w:r>
    <w:r>
      <w:rPr>
        <w:rFonts w:hint="eastAsia"/>
        <w:sz w:val="24"/>
        <w:szCs w:val="24"/>
      </w:rPr>
      <w:t>6</w:t>
    </w:r>
    <w:r>
      <w:rPr>
        <w:sz w:val="24"/>
        <w:szCs w:val="24"/>
      </w:rPr>
      <w:t>-2018</w:t>
    </w:r>
  </w:p>
  <w:p>
    <w:pPr>
      <w:pStyle w:val="9"/>
      <w:pBdr>
        <w:bottom w:val="none" w:color="auto" w:sz="0" w:space="1"/>
      </w:pBdr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  <w:rPr>
        <w:sz w:val="24"/>
        <w:szCs w:val="24"/>
      </w:rPr>
    </w:pPr>
    <w:r>
      <w:rPr>
        <w:sz w:val="24"/>
        <w:szCs w:val="24"/>
      </w:rPr>
      <w:t>T/GZTPA 0002-2018</w:t>
    </w:r>
  </w:p>
  <w:p>
    <w:pPr>
      <w:pStyle w:val="9"/>
      <w:pBdr>
        <w:bottom w:val="none" w:color="auto" w:sz="0" w:space="1"/>
      </w:pBdr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  <w:r>
      <w:rPr>
        <w:sz w:val="24"/>
        <w:szCs w:val="24"/>
      </w:rPr>
      <w:t>T/GZTPA 000</w:t>
    </w:r>
    <w:r>
      <w:rPr>
        <w:rFonts w:hint="eastAsia"/>
        <w:sz w:val="24"/>
        <w:szCs w:val="24"/>
      </w:rPr>
      <w:t>6</w:t>
    </w:r>
    <w:r>
      <w:rPr>
        <w:sz w:val="24"/>
        <w:szCs w:val="24"/>
      </w:rPr>
      <w:t>-2018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  <w:r>
      <w:rPr>
        <w:sz w:val="24"/>
        <w:szCs w:val="24"/>
      </w:rPr>
      <w:t>T/GZTPA 000</w:t>
    </w:r>
    <w:r>
      <w:rPr>
        <w:rFonts w:hint="eastAsia"/>
        <w:sz w:val="24"/>
        <w:szCs w:val="24"/>
      </w:rPr>
      <w:t>6</w:t>
    </w:r>
    <w:r>
      <w:rPr>
        <w:sz w:val="24"/>
        <w:szCs w:val="24"/>
      </w:rPr>
      <w:t>-2018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  <w:rPr>
        <w:rFonts w:hint="eastAsia"/>
        <w:sz w:val="24"/>
        <w:szCs w:val="24"/>
      </w:rPr>
    </w:pPr>
    <w:r>
      <w:rPr>
        <w:sz w:val="24"/>
        <w:szCs w:val="24"/>
      </w:rPr>
      <w:t>T/GZTPA 000</w:t>
    </w:r>
    <w:r>
      <w:rPr>
        <w:rFonts w:hint="eastAsia"/>
        <w:sz w:val="24"/>
        <w:szCs w:val="24"/>
      </w:rPr>
      <w:t>6</w:t>
    </w:r>
    <w:r>
      <w:rPr>
        <w:sz w:val="24"/>
        <w:szCs w:val="24"/>
      </w:rPr>
      <w:t>-2018</w:t>
    </w:r>
  </w:p>
  <w:p>
    <w:pPr>
      <w:pStyle w:val="9"/>
      <w:pBdr>
        <w:bottom w:val="none" w:color="auto" w:sz="0" w:space="1"/>
      </w:pBdr>
      <w:jc w:val="right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  <w:r>
      <w:rPr>
        <w:sz w:val="24"/>
        <w:szCs w:val="24"/>
      </w:rPr>
      <w:t>T/GZTPA 000</w:t>
    </w:r>
    <w:r>
      <w:rPr>
        <w:rFonts w:hint="eastAsia"/>
        <w:sz w:val="24"/>
        <w:szCs w:val="24"/>
      </w:rPr>
      <w:t>1</w:t>
    </w:r>
    <w:r>
      <w:rPr>
        <w:sz w:val="24"/>
        <w:szCs w:val="24"/>
      </w:rPr>
      <w:t>-2018</w:t>
    </w:r>
  </w:p>
  <w:p>
    <w:pPr>
      <w:pStyle w:val="9"/>
      <w:pBdr>
        <w:bottom w:val="none" w:color="auto" w:sz="0" w:space="1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36"/>
      <w:suff w:val="nothing"/>
      <w:lvlText w:val="%1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pStyle w:val="37"/>
      <w:suff w:val="nothing"/>
      <w:lvlText w:val="%1.%2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pStyle w:val="38"/>
      <w:suff w:val="nothing"/>
      <w:lvlText w:val="%1.%2.%3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rPr>
        <w:rFonts w:hint="eastAsia" w:ascii="黑体" w:eastAsia="黑体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/>
      </w:pPr>
      <w:rPr>
        <w:rFonts w:cs="Times New Roman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/>
      </w:pPr>
      <w:rPr>
        <w:rFonts w:cs="Times New Roman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/>
      </w:pPr>
      <w:rPr>
        <w:rFonts w:cs="Times New Roman"/>
      </w:rPr>
    </w:lvl>
  </w:abstractNum>
  <w:abstractNum w:abstractNumId="1">
    <w:nsid w:val="7F350019"/>
    <w:multiLevelType w:val="singleLevel"/>
    <w:tmpl w:val="7F350019"/>
    <w:lvl w:ilvl="0" w:tentative="0">
      <w:start w:val="4"/>
      <w:numFmt w:val="decimal"/>
      <w:lvlText w:val="%1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80"/>
    <w:rsid w:val="000015B2"/>
    <w:rsid w:val="00003DE6"/>
    <w:rsid w:val="00007033"/>
    <w:rsid w:val="0002378C"/>
    <w:rsid w:val="00026DC2"/>
    <w:rsid w:val="00026F36"/>
    <w:rsid w:val="000343A7"/>
    <w:rsid w:val="0003778B"/>
    <w:rsid w:val="00037DB6"/>
    <w:rsid w:val="00045B43"/>
    <w:rsid w:val="00045B4F"/>
    <w:rsid w:val="00047391"/>
    <w:rsid w:val="00050315"/>
    <w:rsid w:val="00052768"/>
    <w:rsid w:val="0005456F"/>
    <w:rsid w:val="000578C0"/>
    <w:rsid w:val="000612B5"/>
    <w:rsid w:val="000642BC"/>
    <w:rsid w:val="00073F0E"/>
    <w:rsid w:val="00082090"/>
    <w:rsid w:val="00084126"/>
    <w:rsid w:val="00084C6F"/>
    <w:rsid w:val="000971F0"/>
    <w:rsid w:val="000A0832"/>
    <w:rsid w:val="000A0C4F"/>
    <w:rsid w:val="000A469D"/>
    <w:rsid w:val="000A5850"/>
    <w:rsid w:val="000B3DE0"/>
    <w:rsid w:val="000D2B2A"/>
    <w:rsid w:val="000D387C"/>
    <w:rsid w:val="000D4265"/>
    <w:rsid w:val="000E1835"/>
    <w:rsid w:val="000F093E"/>
    <w:rsid w:val="000F4F53"/>
    <w:rsid w:val="000F68E8"/>
    <w:rsid w:val="000F7A2C"/>
    <w:rsid w:val="00101E5A"/>
    <w:rsid w:val="00106315"/>
    <w:rsid w:val="00114C44"/>
    <w:rsid w:val="00115A44"/>
    <w:rsid w:val="001273BB"/>
    <w:rsid w:val="0012776D"/>
    <w:rsid w:val="0013110D"/>
    <w:rsid w:val="001357BC"/>
    <w:rsid w:val="0013619F"/>
    <w:rsid w:val="0016003F"/>
    <w:rsid w:val="00161F4D"/>
    <w:rsid w:val="00165AEA"/>
    <w:rsid w:val="00171CA3"/>
    <w:rsid w:val="00176505"/>
    <w:rsid w:val="001933E3"/>
    <w:rsid w:val="00193EE2"/>
    <w:rsid w:val="00197F53"/>
    <w:rsid w:val="001A37B2"/>
    <w:rsid w:val="001A4EC3"/>
    <w:rsid w:val="001B2E34"/>
    <w:rsid w:val="001B6425"/>
    <w:rsid w:val="001C3180"/>
    <w:rsid w:val="001C3401"/>
    <w:rsid w:val="001C47F1"/>
    <w:rsid w:val="001D33BA"/>
    <w:rsid w:val="001D3938"/>
    <w:rsid w:val="001E1536"/>
    <w:rsid w:val="001E50BD"/>
    <w:rsid w:val="001F27E9"/>
    <w:rsid w:val="00200B11"/>
    <w:rsid w:val="00200B82"/>
    <w:rsid w:val="002076B8"/>
    <w:rsid w:val="0021010D"/>
    <w:rsid w:val="00211268"/>
    <w:rsid w:val="0021184C"/>
    <w:rsid w:val="00214B21"/>
    <w:rsid w:val="00221CA8"/>
    <w:rsid w:val="0022723F"/>
    <w:rsid w:val="002313B5"/>
    <w:rsid w:val="00243189"/>
    <w:rsid w:val="00247AAC"/>
    <w:rsid w:val="00251BA4"/>
    <w:rsid w:val="00251CB1"/>
    <w:rsid w:val="00261D2B"/>
    <w:rsid w:val="00264F95"/>
    <w:rsid w:val="002716D5"/>
    <w:rsid w:val="0027466C"/>
    <w:rsid w:val="0028596B"/>
    <w:rsid w:val="00292789"/>
    <w:rsid w:val="002A0415"/>
    <w:rsid w:val="002A09DA"/>
    <w:rsid w:val="002A17CF"/>
    <w:rsid w:val="002A2EE6"/>
    <w:rsid w:val="002A4C0A"/>
    <w:rsid w:val="002B21B7"/>
    <w:rsid w:val="002B7533"/>
    <w:rsid w:val="002C2AFF"/>
    <w:rsid w:val="002E5D26"/>
    <w:rsid w:val="002F12F3"/>
    <w:rsid w:val="002F65AA"/>
    <w:rsid w:val="003038F3"/>
    <w:rsid w:val="00303E31"/>
    <w:rsid w:val="0030401D"/>
    <w:rsid w:val="00304AE9"/>
    <w:rsid w:val="00306770"/>
    <w:rsid w:val="003070FD"/>
    <w:rsid w:val="00313B00"/>
    <w:rsid w:val="00315D97"/>
    <w:rsid w:val="0031621F"/>
    <w:rsid w:val="00325F60"/>
    <w:rsid w:val="00325FE4"/>
    <w:rsid w:val="00326CFE"/>
    <w:rsid w:val="00341E0D"/>
    <w:rsid w:val="00365C98"/>
    <w:rsid w:val="00366BB4"/>
    <w:rsid w:val="00367ACC"/>
    <w:rsid w:val="00370ACA"/>
    <w:rsid w:val="00373E42"/>
    <w:rsid w:val="003742D3"/>
    <w:rsid w:val="00377421"/>
    <w:rsid w:val="0038238F"/>
    <w:rsid w:val="003843E0"/>
    <w:rsid w:val="00385F12"/>
    <w:rsid w:val="0038635E"/>
    <w:rsid w:val="00391184"/>
    <w:rsid w:val="003922EA"/>
    <w:rsid w:val="00392B0B"/>
    <w:rsid w:val="003934B1"/>
    <w:rsid w:val="00393998"/>
    <w:rsid w:val="00396A47"/>
    <w:rsid w:val="003A1C5B"/>
    <w:rsid w:val="003A293C"/>
    <w:rsid w:val="003B3FFF"/>
    <w:rsid w:val="003B6109"/>
    <w:rsid w:val="003B7B71"/>
    <w:rsid w:val="003C1EEC"/>
    <w:rsid w:val="003C6DB3"/>
    <w:rsid w:val="003C6EC3"/>
    <w:rsid w:val="003C7C46"/>
    <w:rsid w:val="003D6855"/>
    <w:rsid w:val="003D7732"/>
    <w:rsid w:val="003F08CF"/>
    <w:rsid w:val="003F0B3A"/>
    <w:rsid w:val="003F11B5"/>
    <w:rsid w:val="003F7A65"/>
    <w:rsid w:val="003F7AF1"/>
    <w:rsid w:val="004053E4"/>
    <w:rsid w:val="0040700B"/>
    <w:rsid w:val="004101F6"/>
    <w:rsid w:val="00411501"/>
    <w:rsid w:val="00413748"/>
    <w:rsid w:val="00413D55"/>
    <w:rsid w:val="004148C6"/>
    <w:rsid w:val="0041506F"/>
    <w:rsid w:val="004165DF"/>
    <w:rsid w:val="00416C38"/>
    <w:rsid w:val="004302B4"/>
    <w:rsid w:val="00441857"/>
    <w:rsid w:val="0044268F"/>
    <w:rsid w:val="00446A02"/>
    <w:rsid w:val="00461E46"/>
    <w:rsid w:val="004625E5"/>
    <w:rsid w:val="00470621"/>
    <w:rsid w:val="00470BD1"/>
    <w:rsid w:val="0047139B"/>
    <w:rsid w:val="004719E1"/>
    <w:rsid w:val="00471CBB"/>
    <w:rsid w:val="00472D14"/>
    <w:rsid w:val="00474295"/>
    <w:rsid w:val="004745F6"/>
    <w:rsid w:val="00476B49"/>
    <w:rsid w:val="00481512"/>
    <w:rsid w:val="00482E21"/>
    <w:rsid w:val="0048530F"/>
    <w:rsid w:val="00485897"/>
    <w:rsid w:val="00485F30"/>
    <w:rsid w:val="00485FB1"/>
    <w:rsid w:val="00486BAF"/>
    <w:rsid w:val="0049039B"/>
    <w:rsid w:val="00491466"/>
    <w:rsid w:val="00496DDA"/>
    <w:rsid w:val="004A0FF9"/>
    <w:rsid w:val="004A42AD"/>
    <w:rsid w:val="004A7F61"/>
    <w:rsid w:val="004B1A48"/>
    <w:rsid w:val="004B4B50"/>
    <w:rsid w:val="004C5DAC"/>
    <w:rsid w:val="004D5A42"/>
    <w:rsid w:val="004E3CBD"/>
    <w:rsid w:val="004E532F"/>
    <w:rsid w:val="004E5C1F"/>
    <w:rsid w:val="004F5C11"/>
    <w:rsid w:val="00505713"/>
    <w:rsid w:val="005069CB"/>
    <w:rsid w:val="0051408B"/>
    <w:rsid w:val="00516819"/>
    <w:rsid w:val="00521B5B"/>
    <w:rsid w:val="00525064"/>
    <w:rsid w:val="005254B8"/>
    <w:rsid w:val="0052574D"/>
    <w:rsid w:val="00526698"/>
    <w:rsid w:val="00527127"/>
    <w:rsid w:val="00535909"/>
    <w:rsid w:val="00537B74"/>
    <w:rsid w:val="0054136A"/>
    <w:rsid w:val="00541793"/>
    <w:rsid w:val="00542A72"/>
    <w:rsid w:val="005460B7"/>
    <w:rsid w:val="005535E0"/>
    <w:rsid w:val="0056449A"/>
    <w:rsid w:val="00564E33"/>
    <w:rsid w:val="00565BB9"/>
    <w:rsid w:val="00584C81"/>
    <w:rsid w:val="005938CC"/>
    <w:rsid w:val="00596AE2"/>
    <w:rsid w:val="0059782B"/>
    <w:rsid w:val="005A0804"/>
    <w:rsid w:val="005A5F07"/>
    <w:rsid w:val="005A6352"/>
    <w:rsid w:val="005B4BCD"/>
    <w:rsid w:val="005B6AC1"/>
    <w:rsid w:val="005C2BF4"/>
    <w:rsid w:val="005D01E0"/>
    <w:rsid w:val="005D04A1"/>
    <w:rsid w:val="005D06EC"/>
    <w:rsid w:val="005D2F0E"/>
    <w:rsid w:val="005E5FD3"/>
    <w:rsid w:val="005E6656"/>
    <w:rsid w:val="005E7375"/>
    <w:rsid w:val="005F20F6"/>
    <w:rsid w:val="005F29D1"/>
    <w:rsid w:val="00600B8E"/>
    <w:rsid w:val="0060370F"/>
    <w:rsid w:val="00603EF7"/>
    <w:rsid w:val="006052B1"/>
    <w:rsid w:val="00606592"/>
    <w:rsid w:val="00611258"/>
    <w:rsid w:val="00611434"/>
    <w:rsid w:val="00621B6A"/>
    <w:rsid w:val="00623373"/>
    <w:rsid w:val="00627F43"/>
    <w:rsid w:val="00630BD7"/>
    <w:rsid w:val="00630F04"/>
    <w:rsid w:val="006402F0"/>
    <w:rsid w:val="0064219C"/>
    <w:rsid w:val="00643C4A"/>
    <w:rsid w:val="00645169"/>
    <w:rsid w:val="00654197"/>
    <w:rsid w:val="00654E07"/>
    <w:rsid w:val="00655A80"/>
    <w:rsid w:val="0066311D"/>
    <w:rsid w:val="0066603A"/>
    <w:rsid w:val="00667ABC"/>
    <w:rsid w:val="00670411"/>
    <w:rsid w:val="00671E2C"/>
    <w:rsid w:val="0067685E"/>
    <w:rsid w:val="0067795B"/>
    <w:rsid w:val="00692D39"/>
    <w:rsid w:val="006A396F"/>
    <w:rsid w:val="006A496A"/>
    <w:rsid w:val="006A6DE7"/>
    <w:rsid w:val="006B2833"/>
    <w:rsid w:val="006C4F7B"/>
    <w:rsid w:val="006D64F3"/>
    <w:rsid w:val="006E2964"/>
    <w:rsid w:val="006E2C16"/>
    <w:rsid w:val="006E5736"/>
    <w:rsid w:val="006E576A"/>
    <w:rsid w:val="006F7E59"/>
    <w:rsid w:val="006F7FF1"/>
    <w:rsid w:val="00704E9A"/>
    <w:rsid w:val="00716948"/>
    <w:rsid w:val="00722E87"/>
    <w:rsid w:val="007235A9"/>
    <w:rsid w:val="00725349"/>
    <w:rsid w:val="0074046C"/>
    <w:rsid w:val="00743BFC"/>
    <w:rsid w:val="007508CF"/>
    <w:rsid w:val="00755E9B"/>
    <w:rsid w:val="00757F2F"/>
    <w:rsid w:val="007624E6"/>
    <w:rsid w:val="00764863"/>
    <w:rsid w:val="00764DA4"/>
    <w:rsid w:val="0077113A"/>
    <w:rsid w:val="00774E46"/>
    <w:rsid w:val="00784433"/>
    <w:rsid w:val="00786FAB"/>
    <w:rsid w:val="00787E8C"/>
    <w:rsid w:val="00794B64"/>
    <w:rsid w:val="007959EC"/>
    <w:rsid w:val="007A5FD7"/>
    <w:rsid w:val="007A7D2C"/>
    <w:rsid w:val="007B1C2F"/>
    <w:rsid w:val="007B218E"/>
    <w:rsid w:val="007C19CE"/>
    <w:rsid w:val="007C7CC2"/>
    <w:rsid w:val="007D23A6"/>
    <w:rsid w:val="007D5FE3"/>
    <w:rsid w:val="007D639F"/>
    <w:rsid w:val="007E1C10"/>
    <w:rsid w:val="007E1F9A"/>
    <w:rsid w:val="007E346D"/>
    <w:rsid w:val="007E6117"/>
    <w:rsid w:val="007E7029"/>
    <w:rsid w:val="007F0A47"/>
    <w:rsid w:val="007F167B"/>
    <w:rsid w:val="007F331A"/>
    <w:rsid w:val="00803737"/>
    <w:rsid w:val="00806596"/>
    <w:rsid w:val="00813A99"/>
    <w:rsid w:val="0081432A"/>
    <w:rsid w:val="0083273D"/>
    <w:rsid w:val="008367D1"/>
    <w:rsid w:val="00837D9F"/>
    <w:rsid w:val="00841E90"/>
    <w:rsid w:val="00845BCF"/>
    <w:rsid w:val="0085206A"/>
    <w:rsid w:val="00864B2A"/>
    <w:rsid w:val="0088569C"/>
    <w:rsid w:val="00886732"/>
    <w:rsid w:val="0088759D"/>
    <w:rsid w:val="00887B5C"/>
    <w:rsid w:val="00890834"/>
    <w:rsid w:val="00890F21"/>
    <w:rsid w:val="008A2290"/>
    <w:rsid w:val="008A5B7F"/>
    <w:rsid w:val="008B2388"/>
    <w:rsid w:val="008B5C6A"/>
    <w:rsid w:val="008B7A1A"/>
    <w:rsid w:val="008B7D2C"/>
    <w:rsid w:val="008C6247"/>
    <w:rsid w:val="008C70CB"/>
    <w:rsid w:val="008C7110"/>
    <w:rsid w:val="008C7B18"/>
    <w:rsid w:val="008D78BB"/>
    <w:rsid w:val="008F1899"/>
    <w:rsid w:val="008F1FE0"/>
    <w:rsid w:val="009068CA"/>
    <w:rsid w:val="00907773"/>
    <w:rsid w:val="00910F5B"/>
    <w:rsid w:val="00914CC1"/>
    <w:rsid w:val="0091613B"/>
    <w:rsid w:val="0092666B"/>
    <w:rsid w:val="0092687E"/>
    <w:rsid w:val="00926CCE"/>
    <w:rsid w:val="00926D30"/>
    <w:rsid w:val="00931727"/>
    <w:rsid w:val="00941F0F"/>
    <w:rsid w:val="00956828"/>
    <w:rsid w:val="00963F02"/>
    <w:rsid w:val="00964800"/>
    <w:rsid w:val="00971058"/>
    <w:rsid w:val="0097248F"/>
    <w:rsid w:val="00981A74"/>
    <w:rsid w:val="00991FB3"/>
    <w:rsid w:val="009923F6"/>
    <w:rsid w:val="00993DAA"/>
    <w:rsid w:val="009978A6"/>
    <w:rsid w:val="009A4C48"/>
    <w:rsid w:val="009B0057"/>
    <w:rsid w:val="009B0EE3"/>
    <w:rsid w:val="009B10A6"/>
    <w:rsid w:val="009B5BE6"/>
    <w:rsid w:val="009B77B8"/>
    <w:rsid w:val="009D3B38"/>
    <w:rsid w:val="009D5A6F"/>
    <w:rsid w:val="009D66B0"/>
    <w:rsid w:val="009E3C3A"/>
    <w:rsid w:val="009E3FCD"/>
    <w:rsid w:val="009E5B81"/>
    <w:rsid w:val="009F4729"/>
    <w:rsid w:val="009F4A4A"/>
    <w:rsid w:val="009F4B49"/>
    <w:rsid w:val="009F736A"/>
    <w:rsid w:val="00A01618"/>
    <w:rsid w:val="00A03E59"/>
    <w:rsid w:val="00A125B5"/>
    <w:rsid w:val="00A13707"/>
    <w:rsid w:val="00A21FDE"/>
    <w:rsid w:val="00A22861"/>
    <w:rsid w:val="00A24F71"/>
    <w:rsid w:val="00A274BD"/>
    <w:rsid w:val="00A27E60"/>
    <w:rsid w:val="00A30A3A"/>
    <w:rsid w:val="00A32397"/>
    <w:rsid w:val="00A50DB4"/>
    <w:rsid w:val="00A53092"/>
    <w:rsid w:val="00A53A55"/>
    <w:rsid w:val="00A543BB"/>
    <w:rsid w:val="00A5770D"/>
    <w:rsid w:val="00A62729"/>
    <w:rsid w:val="00A709BC"/>
    <w:rsid w:val="00A73C5C"/>
    <w:rsid w:val="00A76FD7"/>
    <w:rsid w:val="00A77E74"/>
    <w:rsid w:val="00A81C6C"/>
    <w:rsid w:val="00A92C8E"/>
    <w:rsid w:val="00A940CF"/>
    <w:rsid w:val="00A95B5B"/>
    <w:rsid w:val="00AB0AF8"/>
    <w:rsid w:val="00AC2DD7"/>
    <w:rsid w:val="00AC32BB"/>
    <w:rsid w:val="00AD18E1"/>
    <w:rsid w:val="00AD3E62"/>
    <w:rsid w:val="00AD53BE"/>
    <w:rsid w:val="00AE078E"/>
    <w:rsid w:val="00AE2C18"/>
    <w:rsid w:val="00AE78FC"/>
    <w:rsid w:val="00AF06F4"/>
    <w:rsid w:val="00AF47E8"/>
    <w:rsid w:val="00AF6A1B"/>
    <w:rsid w:val="00AF7D7A"/>
    <w:rsid w:val="00B035F6"/>
    <w:rsid w:val="00B044EA"/>
    <w:rsid w:val="00B06CE9"/>
    <w:rsid w:val="00B16A49"/>
    <w:rsid w:val="00B179B1"/>
    <w:rsid w:val="00B2121D"/>
    <w:rsid w:val="00B26F6B"/>
    <w:rsid w:val="00B318F7"/>
    <w:rsid w:val="00B31ADB"/>
    <w:rsid w:val="00B36A23"/>
    <w:rsid w:val="00B4079F"/>
    <w:rsid w:val="00B51D1A"/>
    <w:rsid w:val="00B54CA2"/>
    <w:rsid w:val="00B55B12"/>
    <w:rsid w:val="00B60765"/>
    <w:rsid w:val="00B62E56"/>
    <w:rsid w:val="00B62F11"/>
    <w:rsid w:val="00B64B3C"/>
    <w:rsid w:val="00B65F8D"/>
    <w:rsid w:val="00B7042E"/>
    <w:rsid w:val="00B74F36"/>
    <w:rsid w:val="00B752AD"/>
    <w:rsid w:val="00B76694"/>
    <w:rsid w:val="00BA4288"/>
    <w:rsid w:val="00BA620D"/>
    <w:rsid w:val="00BB2532"/>
    <w:rsid w:val="00BB3F89"/>
    <w:rsid w:val="00BB4680"/>
    <w:rsid w:val="00BB4BBE"/>
    <w:rsid w:val="00BC05A5"/>
    <w:rsid w:val="00BC27D1"/>
    <w:rsid w:val="00BC356E"/>
    <w:rsid w:val="00BC47C0"/>
    <w:rsid w:val="00BC5F7A"/>
    <w:rsid w:val="00BD41A8"/>
    <w:rsid w:val="00BF262D"/>
    <w:rsid w:val="00BF5C9D"/>
    <w:rsid w:val="00C02C8C"/>
    <w:rsid w:val="00C24F56"/>
    <w:rsid w:val="00C326A9"/>
    <w:rsid w:val="00C37A8A"/>
    <w:rsid w:val="00C42921"/>
    <w:rsid w:val="00C504DE"/>
    <w:rsid w:val="00C529B7"/>
    <w:rsid w:val="00C60CEA"/>
    <w:rsid w:val="00C63647"/>
    <w:rsid w:val="00C70D8D"/>
    <w:rsid w:val="00C72014"/>
    <w:rsid w:val="00C73438"/>
    <w:rsid w:val="00C74BE5"/>
    <w:rsid w:val="00C834DC"/>
    <w:rsid w:val="00C86DB2"/>
    <w:rsid w:val="00C86F0B"/>
    <w:rsid w:val="00C8797F"/>
    <w:rsid w:val="00C92654"/>
    <w:rsid w:val="00C92A4C"/>
    <w:rsid w:val="00C94680"/>
    <w:rsid w:val="00C9542E"/>
    <w:rsid w:val="00C95443"/>
    <w:rsid w:val="00CA104E"/>
    <w:rsid w:val="00CA6AED"/>
    <w:rsid w:val="00CC78DB"/>
    <w:rsid w:val="00CC7A44"/>
    <w:rsid w:val="00CD49D0"/>
    <w:rsid w:val="00CD4B5B"/>
    <w:rsid w:val="00CD6372"/>
    <w:rsid w:val="00CD77C5"/>
    <w:rsid w:val="00CD795D"/>
    <w:rsid w:val="00CE126D"/>
    <w:rsid w:val="00CE63BE"/>
    <w:rsid w:val="00CE6F75"/>
    <w:rsid w:val="00CF0062"/>
    <w:rsid w:val="00CF3662"/>
    <w:rsid w:val="00CF36A0"/>
    <w:rsid w:val="00CF4A84"/>
    <w:rsid w:val="00CF4BA0"/>
    <w:rsid w:val="00D04270"/>
    <w:rsid w:val="00D05D59"/>
    <w:rsid w:val="00D10356"/>
    <w:rsid w:val="00D2017A"/>
    <w:rsid w:val="00D2571C"/>
    <w:rsid w:val="00D26BC7"/>
    <w:rsid w:val="00D303D6"/>
    <w:rsid w:val="00D32297"/>
    <w:rsid w:val="00D40CC8"/>
    <w:rsid w:val="00D63708"/>
    <w:rsid w:val="00D66001"/>
    <w:rsid w:val="00D6662C"/>
    <w:rsid w:val="00D700BF"/>
    <w:rsid w:val="00D74C0B"/>
    <w:rsid w:val="00D802B2"/>
    <w:rsid w:val="00D846AF"/>
    <w:rsid w:val="00D8578C"/>
    <w:rsid w:val="00D927E3"/>
    <w:rsid w:val="00D95259"/>
    <w:rsid w:val="00D95E66"/>
    <w:rsid w:val="00DA50FA"/>
    <w:rsid w:val="00DB02D5"/>
    <w:rsid w:val="00DC4FE2"/>
    <w:rsid w:val="00DC5AC8"/>
    <w:rsid w:val="00DD4C1D"/>
    <w:rsid w:val="00DD5D0D"/>
    <w:rsid w:val="00DE7F71"/>
    <w:rsid w:val="00DF2970"/>
    <w:rsid w:val="00E01670"/>
    <w:rsid w:val="00E02225"/>
    <w:rsid w:val="00E02946"/>
    <w:rsid w:val="00E1255B"/>
    <w:rsid w:val="00E1323F"/>
    <w:rsid w:val="00E14A3D"/>
    <w:rsid w:val="00E15706"/>
    <w:rsid w:val="00E16063"/>
    <w:rsid w:val="00E20925"/>
    <w:rsid w:val="00E222EC"/>
    <w:rsid w:val="00E25380"/>
    <w:rsid w:val="00E26CC7"/>
    <w:rsid w:val="00E30755"/>
    <w:rsid w:val="00E37AFF"/>
    <w:rsid w:val="00E4311D"/>
    <w:rsid w:val="00E43E83"/>
    <w:rsid w:val="00E47E9E"/>
    <w:rsid w:val="00E517EB"/>
    <w:rsid w:val="00E52B65"/>
    <w:rsid w:val="00E53ACA"/>
    <w:rsid w:val="00E53EC9"/>
    <w:rsid w:val="00E62130"/>
    <w:rsid w:val="00E6792A"/>
    <w:rsid w:val="00E701B2"/>
    <w:rsid w:val="00E71DEC"/>
    <w:rsid w:val="00E775E8"/>
    <w:rsid w:val="00E81184"/>
    <w:rsid w:val="00E82F90"/>
    <w:rsid w:val="00E83B6F"/>
    <w:rsid w:val="00E90A4C"/>
    <w:rsid w:val="00E90C93"/>
    <w:rsid w:val="00E96CDE"/>
    <w:rsid w:val="00EA1C0A"/>
    <w:rsid w:val="00EA5E27"/>
    <w:rsid w:val="00EB5C41"/>
    <w:rsid w:val="00EC2F7D"/>
    <w:rsid w:val="00ED090A"/>
    <w:rsid w:val="00ED4A69"/>
    <w:rsid w:val="00ED5DDA"/>
    <w:rsid w:val="00EE0D38"/>
    <w:rsid w:val="00EE4D69"/>
    <w:rsid w:val="00EE7A29"/>
    <w:rsid w:val="00EF1B15"/>
    <w:rsid w:val="00EF2138"/>
    <w:rsid w:val="00EF2745"/>
    <w:rsid w:val="00EF2AAD"/>
    <w:rsid w:val="00F017ED"/>
    <w:rsid w:val="00F0285A"/>
    <w:rsid w:val="00F078F5"/>
    <w:rsid w:val="00F2497D"/>
    <w:rsid w:val="00F26B0C"/>
    <w:rsid w:val="00F4084B"/>
    <w:rsid w:val="00F447F3"/>
    <w:rsid w:val="00F5445B"/>
    <w:rsid w:val="00F5635F"/>
    <w:rsid w:val="00F61390"/>
    <w:rsid w:val="00F65871"/>
    <w:rsid w:val="00F71709"/>
    <w:rsid w:val="00F73B5D"/>
    <w:rsid w:val="00F76955"/>
    <w:rsid w:val="00F769A8"/>
    <w:rsid w:val="00F80E00"/>
    <w:rsid w:val="00F824F2"/>
    <w:rsid w:val="00F8502F"/>
    <w:rsid w:val="00F86EBE"/>
    <w:rsid w:val="00F92591"/>
    <w:rsid w:val="00F95C29"/>
    <w:rsid w:val="00FA0703"/>
    <w:rsid w:val="00FA07DB"/>
    <w:rsid w:val="00FA2372"/>
    <w:rsid w:val="00FA2813"/>
    <w:rsid w:val="00FA60F2"/>
    <w:rsid w:val="00FB222B"/>
    <w:rsid w:val="00FB27C1"/>
    <w:rsid w:val="00FB41C6"/>
    <w:rsid w:val="00FB43E0"/>
    <w:rsid w:val="00FB5A1D"/>
    <w:rsid w:val="00FB5AFF"/>
    <w:rsid w:val="00FB62E0"/>
    <w:rsid w:val="00FC1C29"/>
    <w:rsid w:val="00FC31DC"/>
    <w:rsid w:val="00FC55C4"/>
    <w:rsid w:val="00FC7595"/>
    <w:rsid w:val="00FD01D3"/>
    <w:rsid w:val="00FD116C"/>
    <w:rsid w:val="00FD22DC"/>
    <w:rsid w:val="00FD25C2"/>
    <w:rsid w:val="00FD2E76"/>
    <w:rsid w:val="00FD3457"/>
    <w:rsid w:val="00FD35E3"/>
    <w:rsid w:val="00FD3D4E"/>
    <w:rsid w:val="00FD49DD"/>
    <w:rsid w:val="00FD570F"/>
    <w:rsid w:val="00FF2B25"/>
    <w:rsid w:val="00FF4BDB"/>
    <w:rsid w:val="00FF4D04"/>
    <w:rsid w:val="017C2E9B"/>
    <w:rsid w:val="053F5982"/>
    <w:rsid w:val="053F5C02"/>
    <w:rsid w:val="05CE0948"/>
    <w:rsid w:val="060D68A5"/>
    <w:rsid w:val="064D0404"/>
    <w:rsid w:val="06966610"/>
    <w:rsid w:val="08F42CFB"/>
    <w:rsid w:val="0F840A02"/>
    <w:rsid w:val="0FA77CC7"/>
    <w:rsid w:val="10A87B94"/>
    <w:rsid w:val="12747241"/>
    <w:rsid w:val="14C576CA"/>
    <w:rsid w:val="16D4771B"/>
    <w:rsid w:val="18124D3C"/>
    <w:rsid w:val="18A218F2"/>
    <w:rsid w:val="1C130EE3"/>
    <w:rsid w:val="1CB05592"/>
    <w:rsid w:val="1D6B5A99"/>
    <w:rsid w:val="1ECD7E04"/>
    <w:rsid w:val="1FDA6A2B"/>
    <w:rsid w:val="20BA19F1"/>
    <w:rsid w:val="22E343AF"/>
    <w:rsid w:val="264D1921"/>
    <w:rsid w:val="2A091B3D"/>
    <w:rsid w:val="2A7056FF"/>
    <w:rsid w:val="2B2B59C6"/>
    <w:rsid w:val="2C3F18CA"/>
    <w:rsid w:val="2C613FF4"/>
    <w:rsid w:val="2D0E387E"/>
    <w:rsid w:val="2E655D8D"/>
    <w:rsid w:val="2FC84A98"/>
    <w:rsid w:val="30284032"/>
    <w:rsid w:val="31817BAC"/>
    <w:rsid w:val="31AF1696"/>
    <w:rsid w:val="33546844"/>
    <w:rsid w:val="337A4051"/>
    <w:rsid w:val="34225763"/>
    <w:rsid w:val="34264CCB"/>
    <w:rsid w:val="363F392B"/>
    <w:rsid w:val="36654F39"/>
    <w:rsid w:val="3B7F5D0C"/>
    <w:rsid w:val="431F66FC"/>
    <w:rsid w:val="43FB6CE3"/>
    <w:rsid w:val="478813A2"/>
    <w:rsid w:val="483B3FB9"/>
    <w:rsid w:val="490C382B"/>
    <w:rsid w:val="4BB05750"/>
    <w:rsid w:val="4C39147D"/>
    <w:rsid w:val="4E344000"/>
    <w:rsid w:val="5279207D"/>
    <w:rsid w:val="529F79EB"/>
    <w:rsid w:val="537673E2"/>
    <w:rsid w:val="548112B1"/>
    <w:rsid w:val="561E5C79"/>
    <w:rsid w:val="56311B21"/>
    <w:rsid w:val="565D553B"/>
    <w:rsid w:val="56887079"/>
    <w:rsid w:val="5A8D101D"/>
    <w:rsid w:val="5DD750A7"/>
    <w:rsid w:val="60945110"/>
    <w:rsid w:val="64B35BE7"/>
    <w:rsid w:val="67A67DA9"/>
    <w:rsid w:val="688A4811"/>
    <w:rsid w:val="6F451A6B"/>
    <w:rsid w:val="70731D3D"/>
    <w:rsid w:val="74D75567"/>
    <w:rsid w:val="765C03AD"/>
    <w:rsid w:val="7DAB6E47"/>
    <w:rsid w:val="7FEA2A8D"/>
    <w:rsid w:val="7FE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qFormat/>
    <w:uiPriority w:val="99"/>
    <w:rPr>
      <w:b/>
      <w:bCs/>
    </w:r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Plain Text"/>
    <w:basedOn w:val="1"/>
    <w:link w:val="18"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annotation reference"/>
    <w:semiHidden/>
    <w:qFormat/>
    <w:uiPriority w:val="99"/>
    <w:rPr>
      <w:rFonts w:cs="Times New Roman"/>
      <w:sz w:val="21"/>
    </w:rPr>
  </w:style>
  <w:style w:type="character" w:styleId="13">
    <w:name w:val="footnote reference"/>
    <w:semiHidden/>
    <w:qFormat/>
    <w:uiPriority w:val="99"/>
    <w:rPr>
      <w:rFonts w:cs="Times New Roman"/>
      <w:vertAlign w:val="superscript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批注文字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7">
    <w:name w:val="批注主题 Char"/>
    <w:link w:val="2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日期 Char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20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21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9"/>
    <w:qFormat/>
    <w:locked/>
    <w:uiPriority w:val="99"/>
    <w:rPr>
      <w:rFonts w:cs="Times New Roman"/>
      <w:sz w:val="18"/>
      <w:szCs w:val="18"/>
    </w:rPr>
  </w:style>
  <w:style w:type="paragraph" w:customStyle="1" w:styleId="23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25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6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7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9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0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1">
    <w:name w:val="发布部门"/>
    <w:next w:val="1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2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3">
    <w:name w:val="实施日期"/>
    <w:basedOn w:val="32"/>
    <w:qFormat/>
    <w:uiPriority w:val="99"/>
    <w:pPr>
      <w:framePr w:hSpace="0" w:xAlign="right"/>
      <w:jc w:val="right"/>
    </w:pPr>
  </w:style>
  <w:style w:type="paragraph" w:customStyle="1" w:styleId="34">
    <w:name w:val="章"/>
    <w:basedOn w:val="1"/>
    <w:next w:val="35"/>
    <w:qFormat/>
    <w:uiPriority w:val="99"/>
    <w:pPr>
      <w:tabs>
        <w:tab w:val="left" w:pos="360"/>
      </w:tabs>
      <w:adjustRightInd w:val="0"/>
      <w:spacing w:before="160" w:after="160"/>
      <w:outlineLvl w:val="0"/>
    </w:pPr>
    <w:rPr>
      <w:rFonts w:ascii="黑体" w:eastAsia="黑体"/>
      <w:kern w:val="21"/>
    </w:rPr>
  </w:style>
  <w:style w:type="paragraph" w:customStyle="1" w:styleId="35">
    <w:name w:val="段"/>
    <w:basedOn w:val="1"/>
    <w:link w:val="39"/>
    <w:qFormat/>
    <w:uiPriority w:val="99"/>
    <w:pPr>
      <w:ind w:firstLine="425"/>
    </w:pPr>
    <w:rPr>
      <w:rFonts w:ascii="宋体"/>
    </w:rPr>
  </w:style>
  <w:style w:type="paragraph" w:customStyle="1" w:styleId="36">
    <w:name w:val="条4"/>
    <w:basedOn w:val="1"/>
    <w:next w:val="35"/>
    <w:qFormat/>
    <w:uiPriority w:val="99"/>
    <w:pPr>
      <w:numPr>
        <w:ilvl w:val="0"/>
        <w:numId w:val="1"/>
      </w:numPr>
      <w:outlineLvl w:val="1"/>
    </w:pPr>
    <w:rPr>
      <w:rFonts w:ascii="黑体" w:eastAsia="黑体"/>
      <w:kern w:val="21"/>
    </w:rPr>
  </w:style>
  <w:style w:type="paragraph" w:customStyle="1" w:styleId="37">
    <w:name w:val="条5"/>
    <w:basedOn w:val="1"/>
    <w:next w:val="35"/>
    <w:qFormat/>
    <w:uiPriority w:val="99"/>
    <w:pPr>
      <w:numPr>
        <w:ilvl w:val="1"/>
        <w:numId w:val="1"/>
      </w:numPr>
      <w:outlineLvl w:val="1"/>
    </w:pPr>
    <w:rPr>
      <w:rFonts w:ascii="黑体" w:eastAsia="黑体"/>
      <w:kern w:val="21"/>
    </w:rPr>
  </w:style>
  <w:style w:type="paragraph" w:customStyle="1" w:styleId="38">
    <w:name w:val="1"/>
    <w:basedOn w:val="1"/>
    <w:next w:val="4"/>
    <w:qFormat/>
    <w:uiPriority w:val="99"/>
    <w:pPr>
      <w:numPr>
        <w:ilvl w:val="2"/>
        <w:numId w:val="1"/>
      </w:numPr>
      <w:adjustRightInd w:val="0"/>
      <w:spacing w:line="312" w:lineRule="atLeast"/>
      <w:ind w:firstLine="420"/>
      <w:textAlignment w:val="baseline"/>
    </w:pPr>
    <w:rPr>
      <w:kern w:val="0"/>
    </w:rPr>
  </w:style>
  <w:style w:type="character" w:customStyle="1" w:styleId="39">
    <w:name w:val="段 Char"/>
    <w:link w:val="35"/>
    <w:qFormat/>
    <w:locked/>
    <w:uiPriority w:val="99"/>
    <w:rPr>
      <w:rFonts w:ascii="宋体" w:eastAsia="宋体"/>
      <w:kern w:val="2"/>
      <w:sz w:val="21"/>
      <w:lang w:val="en-US" w:eastAsia="zh-CN"/>
    </w:rPr>
  </w:style>
  <w:style w:type="paragraph" w:customStyle="1" w:styleId="40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41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43">
    <w:name w:val="p15"/>
    <w:basedOn w:val="1"/>
    <w:qFormat/>
    <w:uiPriority w:val="99"/>
    <w:pPr>
      <w:widowControl/>
      <w:ind w:firstLine="425"/>
    </w:pPr>
    <w:rPr>
      <w:rFonts w:ascii="宋体" w:hAnsi="宋体" w:cs="宋体"/>
      <w:kern w:val="0"/>
      <w:szCs w:val="21"/>
    </w:rPr>
  </w:style>
  <w:style w:type="paragraph" w:customStyle="1" w:styleId="44">
    <w:name w:val="p16"/>
    <w:basedOn w:val="1"/>
    <w:qFormat/>
    <w:uiPriority w:val="99"/>
    <w:pPr>
      <w:widowControl/>
      <w:spacing w:after="120"/>
      <w:ind w:left="420"/>
    </w:pPr>
    <w:rPr>
      <w:kern w:val="0"/>
      <w:szCs w:val="21"/>
    </w:rPr>
  </w:style>
  <w:style w:type="paragraph" w:customStyle="1" w:styleId="45">
    <w:name w:val="Char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6">
    <w:name w:val="正文表标题"/>
    <w:basedOn w:val="1"/>
    <w:next w:val="35"/>
    <w:qFormat/>
    <w:uiPriority w:val="99"/>
    <w:pPr>
      <w:widowControl/>
      <w:spacing w:before="100" w:beforeAutospacing="1" w:after="100" w:afterAutospacing="1"/>
      <w:jc w:val="center"/>
    </w:pPr>
    <w:rPr>
      <w:rFonts w:ascii="黑体" w:eastAsia="黑体"/>
      <w:kern w:val="0"/>
      <w:szCs w:val="21"/>
    </w:rPr>
  </w:style>
  <w:style w:type="paragraph" w:customStyle="1" w:styleId="47">
    <w:name w:val="一级条标题"/>
    <w:basedOn w:val="1"/>
    <w:next w:val="3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eastAsia="黑体"/>
      <w:kern w:val="0"/>
      <w:szCs w:val="21"/>
    </w:rPr>
  </w:style>
  <w:style w:type="paragraph" w:customStyle="1" w:styleId="48">
    <w:name w:val="二级条标题"/>
    <w:basedOn w:val="47"/>
    <w:next w:val="35"/>
    <w:qFormat/>
    <w:uiPriority w:val="99"/>
    <w:pPr>
      <w:outlineLvl w:val="3"/>
    </w:pPr>
    <w:rPr>
      <w:rFonts w:eastAsia="宋体"/>
    </w:rPr>
  </w:style>
  <w:style w:type="paragraph" w:customStyle="1" w:styleId="49">
    <w:name w:val="三级条标题"/>
    <w:basedOn w:val="48"/>
    <w:next w:val="35"/>
    <w:qFormat/>
    <w:uiPriority w:val="99"/>
    <w:pPr>
      <w:outlineLvl w:val="4"/>
    </w:pPr>
  </w:style>
  <w:style w:type="character" w:customStyle="1" w:styleId="50">
    <w:name w:val="font31"/>
    <w:qFormat/>
    <w:uiPriority w:val="99"/>
    <w:rPr>
      <w:rFonts w:ascii="宋体" w:hAnsi="宋体" w:eastAsia="宋体" w:cs="宋体"/>
      <w:i/>
      <w:color w:val="000000"/>
      <w:sz w:val="22"/>
      <w:szCs w:val="22"/>
      <w:u w:val="none"/>
    </w:rPr>
  </w:style>
  <w:style w:type="character" w:customStyle="1" w:styleId="51">
    <w:name w:val="font2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11"/>
    <w:qFormat/>
    <w:uiPriority w:val="99"/>
    <w:rPr>
      <w:rFonts w:ascii="宋体" w:hAnsi="宋体" w:eastAsia="宋体" w:cs="宋体"/>
      <w:b/>
      <w:color w:val="FF0000"/>
      <w:sz w:val="22"/>
      <w:szCs w:val="22"/>
      <w:u w:val="none"/>
    </w:rPr>
  </w:style>
  <w:style w:type="paragraph" w:customStyle="1" w:styleId="53">
    <w:name w:val="WPSOffice手动目录 1"/>
    <w:qFormat/>
    <w:uiPriority w:val="99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10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694</Words>
  <Characters>3958</Characters>
  <Lines>32</Lines>
  <Paragraphs>9</Paragraphs>
  <TotalTime>286</TotalTime>
  <ScaleCrop>false</ScaleCrop>
  <LinksUpToDate>false</LinksUpToDate>
  <CharactersWithSpaces>4643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2018-05-31T01:59:00Z</dcterms:created>
  <dc:creator>wengkun</dc:creator>
  <cp:lastModifiedBy>Administrator</cp:lastModifiedBy>
  <cp:lastPrinted>2018-11-15T02:48:30Z</cp:lastPrinted>
  <dcterms:modified xsi:type="dcterms:W3CDTF">2018-11-15T02:48:55Z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