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FA" w:rsidRDefault="001846FA" w:rsidP="001846FA">
      <w:pPr>
        <w:spacing w:beforeLines="150" w:before="571" w:afterLines="150" w:after="571"/>
        <w:ind w:firstLine="803"/>
        <w:rPr>
          <w:b/>
          <w:sz w:val="40"/>
        </w:rPr>
      </w:pPr>
      <w:r>
        <w:rPr>
          <w:rFonts w:hint="eastAsia"/>
          <w:b/>
          <w:sz w:val="40"/>
        </w:rPr>
        <w:t>附件</w:t>
      </w:r>
      <w:r>
        <w:rPr>
          <w:rFonts w:hint="eastAsia"/>
          <w:b/>
          <w:sz w:val="40"/>
        </w:rPr>
        <w:t>2</w:t>
      </w:r>
      <w:bookmarkStart w:id="0" w:name="_GoBack"/>
      <w:bookmarkEnd w:id="0"/>
    </w:p>
    <w:p w:rsidR="002B4E67" w:rsidRDefault="007558BA">
      <w:pPr>
        <w:spacing w:beforeLines="150" w:before="571" w:afterLines="150" w:after="571"/>
        <w:ind w:firstLine="803"/>
        <w:jc w:val="center"/>
        <w:rPr>
          <w:b/>
          <w:sz w:val="40"/>
        </w:rPr>
      </w:pPr>
      <w:r>
        <w:rPr>
          <w:rFonts w:hint="eastAsia"/>
          <w:b/>
          <w:sz w:val="40"/>
        </w:rPr>
        <w:t>发布团体标准项目汇总表</w:t>
      </w:r>
    </w:p>
    <w:tbl>
      <w:tblPr>
        <w:tblStyle w:val="a9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1560"/>
        <w:gridCol w:w="2268"/>
        <w:gridCol w:w="2976"/>
      </w:tblGrid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提纯制备生物天然气技术规程</w:t>
            </w:r>
            <w:r>
              <w:rPr>
                <w:rFonts w:ascii="仿宋_GB2312" w:eastAsia="仿宋_GB2312"/>
                <w:b/>
                <w:szCs w:val="21"/>
              </w:rPr>
              <w:t>-</w:t>
            </w:r>
            <w:r>
              <w:rPr>
                <w:rFonts w:ascii="仿宋_GB2312" w:eastAsia="仿宋_GB2312"/>
                <w:b/>
                <w:szCs w:val="21"/>
              </w:rPr>
              <w:t>膜法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0003.03-2017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制</w:t>
            </w:r>
            <w:r>
              <w:rPr>
                <w:rFonts w:ascii="仿宋_GB2312" w:eastAsia="仿宋_GB2312" w:hint="eastAsia"/>
                <w:b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szCs w:val="21"/>
              </w:rPr>
              <w:t>修订</w:t>
            </w:r>
          </w:p>
        </w:tc>
        <w:tc>
          <w:tcPr>
            <w:tcW w:w="2409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团体标准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 w:rsidR="002B4E67" w:rsidRDefault="007558BA">
            <w:pPr>
              <w:spacing w:before="190" w:after="190"/>
              <w:ind w:firstLineChars="0"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北京三益能源环保发展股份有限公司、山西汾西机电有限公司、清华大学、中国标准化研究院资源与环境分院、北京国环清华环境工程设计研究院有限公司、北京健坤伟华新能源科技有限公司、赢创德固赛（中国）投资有限公司、江苏苏净集团有限公司、北京吉成环境能源科技有限公司。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提纯制备生物天然气技术规程</w:t>
            </w:r>
            <w:r>
              <w:rPr>
                <w:rFonts w:ascii="仿宋_GB2312" w:eastAsia="仿宋_GB2312"/>
                <w:b/>
                <w:szCs w:val="21"/>
              </w:rPr>
              <w:t>-</w:t>
            </w:r>
            <w:r>
              <w:rPr>
                <w:rFonts w:ascii="仿宋_GB2312" w:eastAsia="仿宋_GB2312"/>
                <w:b/>
                <w:szCs w:val="21"/>
              </w:rPr>
              <w:t>水吸收法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0003.0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-2017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制</w:t>
            </w:r>
            <w:r>
              <w:rPr>
                <w:rFonts w:ascii="仿宋_GB2312" w:eastAsia="仿宋_GB2312" w:hint="eastAsia"/>
                <w:b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szCs w:val="21"/>
              </w:rPr>
              <w:t>修订</w:t>
            </w:r>
          </w:p>
        </w:tc>
        <w:tc>
          <w:tcPr>
            <w:tcW w:w="2409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团体标准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 w:rsidR="002B4E67" w:rsidRDefault="007558BA">
            <w:pPr>
              <w:spacing w:before="190" w:after="190"/>
              <w:ind w:firstLineChars="0"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北京化工大学、清华大学、中国标准化研究院资源与环境分院、北京健坤伟华新能源科技有限公司、北京国环清华环境工程设计研究院有限公司、海南神州新能源建设开发有限公司、赤峰元易生物质科技有限责任公司。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生物天然气检测方法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0002.05-2017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制</w:t>
            </w:r>
            <w:r>
              <w:rPr>
                <w:rFonts w:ascii="仿宋_GB2312" w:eastAsia="仿宋_GB2312" w:hint="eastAsia"/>
                <w:b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szCs w:val="21"/>
              </w:rPr>
              <w:t>修订</w:t>
            </w:r>
          </w:p>
        </w:tc>
        <w:tc>
          <w:tcPr>
            <w:tcW w:w="2409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团体标准</w:t>
            </w:r>
          </w:p>
        </w:tc>
      </w:tr>
      <w:tr w:rsidR="002B4E67">
        <w:trPr>
          <w:jc w:val="center"/>
        </w:trPr>
        <w:tc>
          <w:tcPr>
            <w:tcW w:w="1555" w:type="dxa"/>
            <w:vAlign w:val="center"/>
          </w:tcPr>
          <w:p w:rsidR="002B4E67" w:rsidRDefault="007558BA">
            <w:pPr>
              <w:spacing w:before="190" w:after="190"/>
              <w:ind w:firstLineChars="0" w:firstLine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 w:rsidR="002B4E67" w:rsidRDefault="007558BA">
            <w:pPr>
              <w:spacing w:before="190" w:after="190"/>
              <w:ind w:firstLineChars="0"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北京工商大学、中国标准化研究院资源与环境分院、清华大学、北京健坤伟华新能源科技有限公司、赤峰元易生物质科技有限责任公司、北京排水集团、北京洁绿环境科技股份有限公司。</w:t>
            </w:r>
          </w:p>
        </w:tc>
      </w:tr>
    </w:tbl>
    <w:p w:rsidR="002B4E67" w:rsidRDefault="002B4E67">
      <w:pPr>
        <w:spacing w:before="190" w:after="190"/>
        <w:ind w:firstLine="560"/>
        <w:jc w:val="center"/>
      </w:pPr>
    </w:p>
    <w:sectPr w:rsidR="002B4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BA" w:rsidRDefault="007558BA">
      <w:pPr>
        <w:spacing w:before="120" w:after="120" w:line="240" w:lineRule="auto"/>
        <w:ind w:firstLine="560"/>
      </w:pPr>
      <w:r>
        <w:separator/>
      </w:r>
    </w:p>
  </w:endnote>
  <w:endnote w:type="continuationSeparator" w:id="0">
    <w:p w:rsidR="007558BA" w:rsidRDefault="007558BA">
      <w:pPr>
        <w:spacing w:before="120"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BA" w:rsidRDefault="007558BA">
      <w:pPr>
        <w:spacing w:before="120" w:after="120" w:line="240" w:lineRule="auto"/>
        <w:ind w:firstLine="560"/>
      </w:pPr>
      <w:r>
        <w:separator/>
      </w:r>
    </w:p>
  </w:footnote>
  <w:footnote w:type="continuationSeparator" w:id="0">
    <w:p w:rsidR="007558BA" w:rsidRDefault="007558BA">
      <w:pPr>
        <w:spacing w:before="120" w:after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7" w:rsidRDefault="002B4E67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0"/>
    <w:rsid w:val="000E3781"/>
    <w:rsid w:val="001623A8"/>
    <w:rsid w:val="001846FA"/>
    <w:rsid w:val="002B4E67"/>
    <w:rsid w:val="003F0A54"/>
    <w:rsid w:val="00442C45"/>
    <w:rsid w:val="00457CB1"/>
    <w:rsid w:val="004D0120"/>
    <w:rsid w:val="00567ED1"/>
    <w:rsid w:val="005A0C05"/>
    <w:rsid w:val="007312E9"/>
    <w:rsid w:val="007558BA"/>
    <w:rsid w:val="00765340"/>
    <w:rsid w:val="007D7C20"/>
    <w:rsid w:val="008F3B93"/>
    <w:rsid w:val="00A76746"/>
    <w:rsid w:val="00B45B42"/>
    <w:rsid w:val="00C252EC"/>
    <w:rsid w:val="00E44F56"/>
    <w:rsid w:val="00EB1D59"/>
    <w:rsid w:val="00EB7326"/>
    <w:rsid w:val="00ED41D1"/>
    <w:rsid w:val="00EE73CA"/>
    <w:rsid w:val="00F810B5"/>
    <w:rsid w:val="13E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5CBC"/>
  <w15:docId w15:val="{6A1DF20A-86BA-40C7-81AF-EBDAD39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50" w:afterLines="50" w:after="50" w:line="560" w:lineRule="exact"/>
      <w:ind w:firstLineChars="200" w:firstLine="200"/>
      <w:jc w:val="both"/>
    </w:pPr>
    <w:rPr>
      <w:rFonts w:eastAsia="仿宋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50" w:before="150" w:afterLines="150" w:after="150"/>
      <w:ind w:firstLineChars="0" w:firstLine="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Lines="0" w:before="240" w:afterLines="0" w:after="60" w:line="312" w:lineRule="auto"/>
      <w:ind w:firstLineChars="0" w:firstLine="0"/>
      <w:outlineLvl w:val="1"/>
    </w:pPr>
    <w:rPr>
      <w:rFonts w:eastAsia="楷体"/>
      <w:b/>
      <w:bCs/>
      <w:kern w:val="28"/>
      <w:sz w:val="30"/>
      <w:szCs w:val="32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a8">
    <w:name w:val="副标题 字符"/>
    <w:basedOn w:val="a0"/>
    <w:link w:val="a7"/>
    <w:uiPriority w:val="11"/>
    <w:rPr>
      <w:rFonts w:eastAsia="楷体"/>
      <w:b/>
      <w:bCs/>
      <w:kern w:val="28"/>
      <w:sz w:val="30"/>
      <w:szCs w:val="32"/>
    </w:r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张岚</dc:creator>
  <cp:lastModifiedBy>张岚</cp:lastModifiedBy>
  <cp:revision>3</cp:revision>
  <dcterms:created xsi:type="dcterms:W3CDTF">2017-12-28T10:28:00Z</dcterms:created>
  <dcterms:modified xsi:type="dcterms:W3CDTF">2017-12-29T03:11:00Z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